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BAEC" w14:textId="5C6F58E4" w:rsidR="0082682E" w:rsidRPr="006F2C56" w:rsidRDefault="0082682E" w:rsidP="00B66728">
      <w:pPr>
        <w:spacing w:after="360"/>
        <w:jc w:val="center"/>
        <w:rPr>
          <w:rFonts w:cstheme="minorHAnsi"/>
          <w:b/>
          <w:color w:val="003C8A"/>
          <w:sz w:val="32"/>
          <w:szCs w:val="32"/>
        </w:rPr>
      </w:pPr>
      <w:r w:rsidRPr="0082682E">
        <w:rPr>
          <w:rFonts w:cstheme="minorHAnsi"/>
          <w:b/>
          <w:color w:val="003C8A"/>
          <w:sz w:val="32"/>
          <w:szCs w:val="32"/>
        </w:rPr>
        <w:t>Socomec lance un nouveau système d</w:t>
      </w:r>
      <w:r>
        <w:rPr>
          <w:rFonts w:cstheme="minorHAnsi"/>
          <w:b/>
          <w:color w:val="003C8A"/>
          <w:sz w:val="32"/>
          <w:szCs w:val="32"/>
        </w:rPr>
        <w:t xml:space="preserve">e stockage </w:t>
      </w:r>
      <w:r w:rsidR="00DF25D1">
        <w:rPr>
          <w:rFonts w:cstheme="minorHAnsi"/>
          <w:b/>
          <w:color w:val="003C8A"/>
          <w:sz w:val="32"/>
          <w:szCs w:val="32"/>
        </w:rPr>
        <w:t xml:space="preserve">pour les applications à </w:t>
      </w:r>
      <w:r w:rsidR="00042AE5">
        <w:rPr>
          <w:rFonts w:cstheme="minorHAnsi"/>
          <w:b/>
          <w:color w:val="003C8A"/>
          <w:sz w:val="32"/>
          <w:szCs w:val="32"/>
        </w:rPr>
        <w:t xml:space="preserve">forte </w:t>
      </w:r>
      <w:r w:rsidR="00DF25D1">
        <w:rPr>
          <w:rFonts w:cstheme="minorHAnsi"/>
          <w:b/>
          <w:color w:val="003C8A"/>
          <w:sz w:val="32"/>
          <w:szCs w:val="32"/>
        </w:rPr>
        <w:t>puissance</w:t>
      </w:r>
    </w:p>
    <w:p w14:paraId="10FE26E1" w14:textId="31FB12A1" w:rsidR="000C5D57" w:rsidRPr="00043F90" w:rsidRDefault="0082682E" w:rsidP="00B66728">
      <w:pPr>
        <w:jc w:val="both"/>
        <w:rPr>
          <w:rFonts w:ascii="Calibri" w:hAnsi="Calibri" w:cs="Calibri"/>
          <w:sz w:val="20"/>
        </w:rPr>
      </w:pPr>
      <w:r w:rsidRPr="00043F90">
        <w:rPr>
          <w:b/>
          <w:bCs/>
          <w:sz w:val="20"/>
        </w:rPr>
        <w:t xml:space="preserve">Paris, le </w:t>
      </w:r>
      <w:r w:rsidR="00B66728" w:rsidRPr="00043F90">
        <w:rPr>
          <w:b/>
          <w:bCs/>
          <w:sz w:val="20"/>
          <w:highlight w:val="yellow"/>
        </w:rPr>
        <w:t>15</w:t>
      </w:r>
      <w:r w:rsidRPr="00043F90">
        <w:rPr>
          <w:b/>
          <w:bCs/>
          <w:sz w:val="20"/>
          <w:highlight w:val="yellow"/>
        </w:rPr>
        <w:t xml:space="preserve"> juin</w:t>
      </w:r>
      <w:r w:rsidRPr="00043F90">
        <w:rPr>
          <w:b/>
          <w:bCs/>
          <w:sz w:val="20"/>
        </w:rPr>
        <w:t xml:space="preserve"> 2023 –</w:t>
      </w:r>
      <w:r w:rsidRPr="00043F90">
        <w:rPr>
          <w:sz w:val="20"/>
        </w:rPr>
        <w:t xml:space="preserve"> </w:t>
      </w:r>
      <w:r w:rsidR="000C5D57" w:rsidRPr="00043F90">
        <w:rPr>
          <w:sz w:val="20"/>
        </w:rPr>
        <w:t>Après le lancement réussi du SUNSYS HES L</w:t>
      </w:r>
      <w:r w:rsidR="00266ADC" w:rsidRPr="00043F90">
        <w:rPr>
          <w:sz w:val="20"/>
        </w:rPr>
        <w:t xml:space="preserve">, </w:t>
      </w:r>
      <w:r w:rsidR="00A7503E" w:rsidRPr="00043F90">
        <w:rPr>
          <w:sz w:val="20"/>
        </w:rPr>
        <w:t xml:space="preserve"> </w:t>
      </w:r>
      <w:hyperlink r:id="rId7" w:history="1">
        <w:r w:rsidR="000C5D57" w:rsidRPr="00043F90">
          <w:rPr>
            <w:rStyle w:val="Lienhypertexte"/>
            <w:rFonts w:ascii="Calibri" w:hAnsi="Calibri" w:cs="Calibri"/>
            <w:sz w:val="20"/>
          </w:rPr>
          <w:t>Socomec</w:t>
        </w:r>
      </w:hyperlink>
      <w:r w:rsidR="00511238" w:rsidRPr="00043F90">
        <w:rPr>
          <w:sz w:val="20"/>
        </w:rPr>
        <w:t xml:space="preserve">, </w:t>
      </w:r>
      <w:r w:rsidR="000C5D57" w:rsidRPr="00043F90">
        <w:rPr>
          <w:rFonts w:ascii="Calibri" w:hAnsi="Calibri" w:cs="Calibri"/>
          <w:sz w:val="20"/>
        </w:rPr>
        <w:t xml:space="preserve">spécialiste de la coupure de sécurité, de la commutation de sources, </w:t>
      </w:r>
      <w:r w:rsidR="00821433" w:rsidRPr="00043F90">
        <w:rPr>
          <w:rFonts w:ascii="Calibri" w:hAnsi="Calibri" w:cs="Calibri"/>
          <w:sz w:val="20"/>
        </w:rPr>
        <w:t xml:space="preserve">de la mesure </w:t>
      </w:r>
      <w:r w:rsidR="000C5D57" w:rsidRPr="00043F90">
        <w:rPr>
          <w:rFonts w:ascii="Calibri" w:hAnsi="Calibri" w:cs="Calibri"/>
          <w:sz w:val="20"/>
        </w:rPr>
        <w:t>et</w:t>
      </w:r>
      <w:r w:rsidR="00042AE5" w:rsidRPr="00043F90">
        <w:rPr>
          <w:rFonts w:ascii="Calibri" w:hAnsi="Calibri" w:cs="Calibri"/>
          <w:sz w:val="20"/>
        </w:rPr>
        <w:t xml:space="preserve"> </w:t>
      </w:r>
      <w:r w:rsidR="00821433" w:rsidRPr="00043F90">
        <w:rPr>
          <w:rFonts w:ascii="Calibri" w:hAnsi="Calibri" w:cs="Calibri"/>
          <w:sz w:val="20"/>
        </w:rPr>
        <w:t xml:space="preserve">de la conversion </w:t>
      </w:r>
      <w:r w:rsidR="000E6C99" w:rsidRPr="00043F90">
        <w:rPr>
          <w:rFonts w:ascii="Calibri" w:hAnsi="Calibri" w:cs="Calibri"/>
          <w:sz w:val="20"/>
        </w:rPr>
        <w:t xml:space="preserve">de </w:t>
      </w:r>
      <w:r w:rsidR="00042AE5" w:rsidRPr="00043F90">
        <w:rPr>
          <w:rFonts w:ascii="Calibri" w:hAnsi="Calibri" w:cs="Calibri"/>
          <w:sz w:val="20"/>
        </w:rPr>
        <w:t>puissance,</w:t>
      </w:r>
      <w:r w:rsidR="00D6730C" w:rsidRPr="00043F90">
        <w:rPr>
          <w:rFonts w:ascii="Calibri" w:hAnsi="Calibri" w:cs="Calibri"/>
          <w:sz w:val="20"/>
        </w:rPr>
        <w:t xml:space="preserve"> </w:t>
      </w:r>
      <w:r w:rsidR="000C5D57" w:rsidRPr="00043F90">
        <w:rPr>
          <w:rFonts w:ascii="Calibri" w:hAnsi="Calibri" w:cs="Calibri"/>
          <w:sz w:val="20"/>
        </w:rPr>
        <w:t>présente SUNSYS HES XXL</w:t>
      </w:r>
      <w:r w:rsidR="003C11E0" w:rsidRPr="00043F90">
        <w:rPr>
          <w:rFonts w:ascii="Calibri" w:hAnsi="Calibri" w:cs="Calibri"/>
          <w:sz w:val="20"/>
        </w:rPr>
        <w:t xml:space="preserve">, </w:t>
      </w:r>
      <w:r w:rsidR="00510B28" w:rsidRPr="00043F90">
        <w:rPr>
          <w:rFonts w:ascii="Calibri" w:hAnsi="Calibri" w:cs="Calibri"/>
          <w:sz w:val="20"/>
        </w:rPr>
        <w:t xml:space="preserve">un </w:t>
      </w:r>
      <w:r w:rsidR="003C11E0" w:rsidRPr="00043F90">
        <w:rPr>
          <w:rFonts w:ascii="Calibri" w:hAnsi="Calibri" w:cs="Calibri"/>
          <w:sz w:val="20"/>
        </w:rPr>
        <w:t xml:space="preserve">système de stockage </w:t>
      </w:r>
      <w:r w:rsidR="00773F1B" w:rsidRPr="00043F90">
        <w:rPr>
          <w:rFonts w:ascii="Calibri" w:hAnsi="Calibri" w:cs="Calibri"/>
          <w:sz w:val="20"/>
        </w:rPr>
        <w:t xml:space="preserve">de l’énergie </w:t>
      </w:r>
      <w:r w:rsidR="003C11E0" w:rsidRPr="00043F90">
        <w:rPr>
          <w:rFonts w:ascii="Calibri" w:hAnsi="Calibri" w:cs="Calibri"/>
          <w:sz w:val="20"/>
        </w:rPr>
        <w:t xml:space="preserve">nativement </w:t>
      </w:r>
      <w:r w:rsidR="004854A7" w:rsidRPr="00043F90">
        <w:rPr>
          <w:rFonts w:ascii="Calibri" w:hAnsi="Calibri" w:cs="Calibri"/>
          <w:sz w:val="20"/>
        </w:rPr>
        <w:t>« </w:t>
      </w:r>
      <w:proofErr w:type="spellStart"/>
      <w:r w:rsidR="003C11E0" w:rsidRPr="00043F90">
        <w:rPr>
          <w:rFonts w:ascii="Calibri" w:hAnsi="Calibri" w:cs="Calibri"/>
          <w:sz w:val="20"/>
        </w:rPr>
        <w:t>outdoor</w:t>
      </w:r>
      <w:proofErr w:type="spellEnd"/>
      <w:r w:rsidR="004854A7" w:rsidRPr="00043F90">
        <w:rPr>
          <w:rFonts w:ascii="Calibri" w:hAnsi="Calibri" w:cs="Calibri"/>
          <w:sz w:val="20"/>
        </w:rPr>
        <w:t> »</w:t>
      </w:r>
      <w:r w:rsidR="000C5D57" w:rsidRPr="00043F90">
        <w:rPr>
          <w:rFonts w:ascii="Calibri" w:hAnsi="Calibri" w:cs="Calibri"/>
          <w:sz w:val="20"/>
        </w:rPr>
        <w:t xml:space="preserve"> </w:t>
      </w:r>
      <w:r w:rsidR="004854A7" w:rsidRPr="00043F90">
        <w:rPr>
          <w:rFonts w:ascii="Calibri" w:hAnsi="Calibri" w:cs="Calibri"/>
          <w:sz w:val="20"/>
        </w:rPr>
        <w:t>couvrant une</w:t>
      </w:r>
      <w:r w:rsidR="000C5D57" w:rsidRPr="00043F90">
        <w:rPr>
          <w:rFonts w:ascii="Calibri" w:hAnsi="Calibri" w:cs="Calibri"/>
          <w:sz w:val="20"/>
        </w:rPr>
        <w:t xml:space="preserve"> puissance allant de 1 MVA / 1 MWh à 6 MVA / 20 MWh</w:t>
      </w:r>
      <w:r w:rsidR="00773F1B" w:rsidRPr="00043F90">
        <w:rPr>
          <w:rFonts w:ascii="Calibri" w:hAnsi="Calibri" w:cs="Calibri"/>
          <w:sz w:val="20"/>
        </w:rPr>
        <w:t>,</w:t>
      </w:r>
      <w:r w:rsidR="000C5D57" w:rsidRPr="00043F90">
        <w:rPr>
          <w:rFonts w:ascii="Calibri" w:hAnsi="Calibri" w:cs="Calibri"/>
          <w:sz w:val="20"/>
        </w:rPr>
        <w:t xml:space="preserve"> </w:t>
      </w:r>
      <w:r w:rsidR="00DE2BFC" w:rsidRPr="00043F90">
        <w:rPr>
          <w:rFonts w:ascii="Calibri" w:hAnsi="Calibri" w:cs="Calibri"/>
          <w:sz w:val="20"/>
        </w:rPr>
        <w:t xml:space="preserve">et pouvant atteindre </w:t>
      </w:r>
      <w:r w:rsidR="000C5D57" w:rsidRPr="00043F90">
        <w:rPr>
          <w:rFonts w:ascii="Calibri" w:hAnsi="Calibri" w:cs="Calibri"/>
          <w:sz w:val="20"/>
        </w:rPr>
        <w:t xml:space="preserve">une puissance plus élevée </w:t>
      </w:r>
      <w:r w:rsidR="00DE2BFC" w:rsidRPr="00043F90">
        <w:rPr>
          <w:rFonts w:ascii="Calibri" w:hAnsi="Calibri" w:cs="Calibri"/>
          <w:sz w:val="20"/>
        </w:rPr>
        <w:t>si installé</w:t>
      </w:r>
      <w:r w:rsidR="000C5D57" w:rsidRPr="00043F90">
        <w:rPr>
          <w:rFonts w:ascii="Calibri" w:hAnsi="Calibri" w:cs="Calibri"/>
          <w:sz w:val="20"/>
        </w:rPr>
        <w:t xml:space="preserve"> en parallèle. </w:t>
      </w:r>
      <w:r w:rsidR="00511238" w:rsidRPr="00043F90">
        <w:rPr>
          <w:rFonts w:ascii="Calibri" w:hAnsi="Calibri" w:cs="Calibri"/>
          <w:sz w:val="20"/>
        </w:rPr>
        <w:t>Il</w:t>
      </w:r>
      <w:r w:rsidR="000C5D57" w:rsidRPr="00043F90">
        <w:rPr>
          <w:rFonts w:ascii="Calibri" w:hAnsi="Calibri" w:cs="Calibri"/>
          <w:sz w:val="20"/>
        </w:rPr>
        <w:t xml:space="preserve"> est particulièrement adapté aux systèmes de stockage installés sur des sites de col</w:t>
      </w:r>
      <w:r w:rsidR="00511238" w:rsidRPr="00043F90">
        <w:rPr>
          <w:rFonts w:ascii="Calibri" w:hAnsi="Calibri" w:cs="Calibri"/>
          <w:sz w:val="20"/>
        </w:rPr>
        <w:t>oc</w:t>
      </w:r>
      <w:r w:rsidR="000C5D57" w:rsidRPr="00043F90">
        <w:rPr>
          <w:rFonts w:ascii="Calibri" w:hAnsi="Calibri" w:cs="Calibri"/>
          <w:sz w:val="20"/>
        </w:rPr>
        <w:t xml:space="preserve">ation avec la production d'énergie renouvelable ou pour une utilisation </w:t>
      </w:r>
      <w:r w:rsidR="00511238" w:rsidRPr="00043F90">
        <w:rPr>
          <w:rFonts w:ascii="Calibri" w:hAnsi="Calibri" w:cs="Calibri"/>
          <w:sz w:val="20"/>
        </w:rPr>
        <w:t>en tant que support réseau.</w:t>
      </w:r>
    </w:p>
    <w:p w14:paraId="1464E8B6" w14:textId="6D6B3BB8" w:rsidR="00A43752" w:rsidRPr="00043F90" w:rsidRDefault="00A43752">
      <w:pPr>
        <w:rPr>
          <w:rFonts w:ascii="Calibri" w:hAnsi="Calibri" w:cs="Calibri"/>
          <w:b/>
          <w:bCs/>
          <w:color w:val="003C8A"/>
          <w:sz w:val="20"/>
        </w:rPr>
      </w:pPr>
      <w:r w:rsidRPr="00043F90">
        <w:rPr>
          <w:rFonts w:ascii="Calibri" w:hAnsi="Calibri" w:cs="Calibri"/>
          <w:b/>
          <w:bCs/>
          <w:color w:val="003C8A"/>
          <w:sz w:val="20"/>
        </w:rPr>
        <w:t>SUNSYS HES XXL : une large gamme de systèmes évolutifs en toute simplicité</w:t>
      </w:r>
    </w:p>
    <w:p w14:paraId="30C8747E" w14:textId="5EDADD78" w:rsidR="00385D7F" w:rsidRPr="00043F90" w:rsidRDefault="0085286A" w:rsidP="00385D7F">
      <w:pPr>
        <w:jc w:val="both"/>
        <w:rPr>
          <w:rFonts w:ascii="Calibri" w:hAnsi="Calibri" w:cs="Calibri"/>
          <w:i/>
          <w:iCs/>
          <w:color w:val="FF0000"/>
          <w:sz w:val="20"/>
        </w:rPr>
      </w:pPr>
      <w:r w:rsidRPr="00043F90">
        <w:rPr>
          <w:rFonts w:ascii="Calibri" w:hAnsi="Calibri" w:cs="Calibri"/>
          <w:sz w:val="20"/>
        </w:rPr>
        <w:t>Par</w:t>
      </w:r>
      <w:r w:rsidR="00A43752" w:rsidRPr="00043F90">
        <w:rPr>
          <w:rFonts w:ascii="Calibri" w:hAnsi="Calibri" w:cs="Calibri"/>
          <w:sz w:val="20"/>
        </w:rPr>
        <w:t xml:space="preserve"> sa conception, SUNSYS HES XXL offre </w:t>
      </w:r>
      <w:r w:rsidR="008325B0" w:rsidRPr="00043F90">
        <w:rPr>
          <w:rFonts w:ascii="Calibri" w:hAnsi="Calibri" w:cs="Calibri"/>
          <w:sz w:val="20"/>
        </w:rPr>
        <w:t>une flexibilité</w:t>
      </w:r>
      <w:r w:rsidR="00511238" w:rsidRPr="00043F90">
        <w:rPr>
          <w:rFonts w:ascii="Calibri" w:hAnsi="Calibri" w:cs="Calibri"/>
          <w:sz w:val="20"/>
        </w:rPr>
        <w:t xml:space="preserve"> </w:t>
      </w:r>
      <w:r w:rsidR="008325B0" w:rsidRPr="00043F90">
        <w:rPr>
          <w:rFonts w:ascii="Calibri" w:hAnsi="Calibri" w:cs="Calibri"/>
          <w:sz w:val="20"/>
        </w:rPr>
        <w:t>maximale</w:t>
      </w:r>
      <w:r w:rsidR="00511238" w:rsidRPr="00043F90">
        <w:rPr>
          <w:rFonts w:ascii="Calibri" w:hAnsi="Calibri" w:cs="Calibri"/>
          <w:sz w:val="20"/>
        </w:rPr>
        <w:t xml:space="preserve"> avec une multitude de configurations possibles</w:t>
      </w:r>
      <w:r w:rsidR="00A43752" w:rsidRPr="00043F90">
        <w:rPr>
          <w:rFonts w:ascii="Calibri" w:hAnsi="Calibri" w:cs="Calibri"/>
          <w:sz w:val="20"/>
        </w:rPr>
        <w:t xml:space="preserve">. </w:t>
      </w:r>
      <w:r w:rsidR="008325B0" w:rsidRPr="00043F90">
        <w:rPr>
          <w:rFonts w:ascii="Calibri" w:hAnsi="Calibri" w:cs="Calibri"/>
          <w:sz w:val="20"/>
        </w:rPr>
        <w:t xml:space="preserve">En effet, </w:t>
      </w:r>
      <w:r w:rsidR="00AB4EF1" w:rsidRPr="00043F90">
        <w:rPr>
          <w:rFonts w:ascii="Calibri" w:hAnsi="Calibri" w:cs="Calibri"/>
          <w:sz w:val="20"/>
        </w:rPr>
        <w:t xml:space="preserve">c’est un </w:t>
      </w:r>
      <w:r w:rsidR="00A43752" w:rsidRPr="00043F90">
        <w:rPr>
          <w:rFonts w:ascii="Calibri" w:hAnsi="Calibri" w:cs="Calibri"/>
          <w:sz w:val="20"/>
        </w:rPr>
        <w:t>système de stockage modulaire basé</w:t>
      </w:r>
      <w:r w:rsidR="00511238" w:rsidRPr="00043F90">
        <w:rPr>
          <w:rFonts w:ascii="Calibri" w:hAnsi="Calibri" w:cs="Calibri"/>
          <w:sz w:val="20"/>
        </w:rPr>
        <w:t xml:space="preserve"> sur </w:t>
      </w:r>
      <w:r w:rsidR="00AB4EF1" w:rsidRPr="00043F90">
        <w:rPr>
          <w:rFonts w:ascii="Calibri" w:hAnsi="Calibri" w:cs="Calibri"/>
          <w:sz w:val="20"/>
        </w:rPr>
        <w:t>deux</w:t>
      </w:r>
      <w:r w:rsidR="00A43752" w:rsidRPr="00043F90">
        <w:rPr>
          <w:rFonts w:ascii="Calibri" w:hAnsi="Calibri" w:cs="Calibri"/>
          <w:sz w:val="20"/>
        </w:rPr>
        <w:t xml:space="preserve"> armoires standard</w:t>
      </w:r>
      <w:r w:rsidR="00DD2FD9" w:rsidRPr="00043F90">
        <w:rPr>
          <w:rFonts w:ascii="Calibri" w:hAnsi="Calibri" w:cs="Calibri"/>
          <w:sz w:val="20"/>
        </w:rPr>
        <w:t>s</w:t>
      </w:r>
      <w:r w:rsidR="00A43752" w:rsidRPr="00043F90">
        <w:rPr>
          <w:rFonts w:ascii="Calibri" w:hAnsi="Calibri" w:cs="Calibri"/>
          <w:sz w:val="20"/>
        </w:rPr>
        <w:t xml:space="preserve"> </w:t>
      </w:r>
      <w:r w:rsidR="00DD2FD9" w:rsidRPr="00043F90">
        <w:rPr>
          <w:rFonts w:ascii="Calibri" w:hAnsi="Calibri" w:cs="Calibri"/>
          <w:sz w:val="20"/>
        </w:rPr>
        <w:t>(</w:t>
      </w:r>
      <w:r w:rsidR="00A43752" w:rsidRPr="00043F90">
        <w:rPr>
          <w:rFonts w:ascii="Calibri" w:hAnsi="Calibri" w:cs="Calibri"/>
          <w:sz w:val="20"/>
        </w:rPr>
        <w:t>une armoire de conversion</w:t>
      </w:r>
      <w:r w:rsidR="00DD2FD9" w:rsidRPr="00043F90">
        <w:rPr>
          <w:rFonts w:ascii="Calibri" w:hAnsi="Calibri" w:cs="Calibri"/>
          <w:sz w:val="20"/>
        </w:rPr>
        <w:t>,</w:t>
      </w:r>
      <w:r w:rsidR="004854A7" w:rsidRPr="00043F90">
        <w:rPr>
          <w:rFonts w:ascii="Calibri" w:hAnsi="Calibri" w:cs="Calibri"/>
          <w:sz w:val="20"/>
        </w:rPr>
        <w:t xml:space="preserve"> </w:t>
      </w:r>
      <w:r w:rsidR="00A43752" w:rsidRPr="00043F90">
        <w:rPr>
          <w:rFonts w:ascii="Calibri" w:hAnsi="Calibri" w:cs="Calibri"/>
          <w:sz w:val="20"/>
        </w:rPr>
        <w:t>C-Cab</w:t>
      </w:r>
      <w:r w:rsidR="00DD2FD9" w:rsidRPr="00043F90">
        <w:rPr>
          <w:rFonts w:ascii="Calibri" w:hAnsi="Calibri" w:cs="Calibri"/>
          <w:sz w:val="20"/>
        </w:rPr>
        <w:t>,</w:t>
      </w:r>
      <w:r w:rsidR="00A43752" w:rsidRPr="00043F90">
        <w:rPr>
          <w:rFonts w:ascii="Calibri" w:hAnsi="Calibri" w:cs="Calibri"/>
          <w:sz w:val="20"/>
        </w:rPr>
        <w:t xml:space="preserve"> et une armoire de batteries</w:t>
      </w:r>
      <w:r w:rsidR="00DD2FD9" w:rsidRPr="00043F90">
        <w:rPr>
          <w:rFonts w:ascii="Calibri" w:hAnsi="Calibri" w:cs="Calibri"/>
          <w:sz w:val="20"/>
        </w:rPr>
        <w:t>,</w:t>
      </w:r>
      <w:r w:rsidR="004854A7" w:rsidRPr="00043F90">
        <w:rPr>
          <w:rFonts w:ascii="Calibri" w:hAnsi="Calibri" w:cs="Calibri"/>
          <w:sz w:val="20"/>
        </w:rPr>
        <w:t xml:space="preserve"> </w:t>
      </w:r>
      <w:r w:rsidR="00A43752" w:rsidRPr="00043F90">
        <w:rPr>
          <w:rFonts w:ascii="Calibri" w:hAnsi="Calibri" w:cs="Calibri"/>
          <w:sz w:val="20"/>
        </w:rPr>
        <w:t>B-Cab)</w:t>
      </w:r>
      <w:r w:rsidR="00CB6701" w:rsidRPr="00043F90">
        <w:rPr>
          <w:rFonts w:ascii="Calibri" w:hAnsi="Calibri" w:cs="Calibri"/>
          <w:sz w:val="20"/>
        </w:rPr>
        <w:t>.</w:t>
      </w:r>
      <w:r w:rsidR="00515C13" w:rsidRPr="00043F90">
        <w:rPr>
          <w:rFonts w:ascii="Calibri" w:hAnsi="Calibri" w:cs="Calibri"/>
          <w:sz w:val="20"/>
        </w:rPr>
        <w:t xml:space="preserve"> </w:t>
      </w:r>
      <w:r w:rsidR="004854A7" w:rsidRPr="00043F90">
        <w:rPr>
          <w:rFonts w:ascii="Calibri" w:hAnsi="Calibri" w:cs="Calibri"/>
          <w:sz w:val="20"/>
        </w:rPr>
        <w:t>P</w:t>
      </w:r>
      <w:r w:rsidR="00A43752" w:rsidRPr="00043F90">
        <w:rPr>
          <w:rFonts w:ascii="Calibri" w:hAnsi="Calibri" w:cs="Calibri"/>
          <w:sz w:val="20"/>
        </w:rPr>
        <w:t>our les systèmes comportant plus de 8 racks de batteries</w:t>
      </w:r>
      <w:r w:rsidR="006571F6" w:rsidRPr="00043F90">
        <w:rPr>
          <w:rFonts w:ascii="Calibri" w:hAnsi="Calibri" w:cs="Calibri"/>
          <w:sz w:val="20"/>
        </w:rPr>
        <w:t xml:space="preserve">, </w:t>
      </w:r>
      <w:r w:rsidR="00CB6701" w:rsidRPr="00043F90">
        <w:rPr>
          <w:rFonts w:ascii="Calibri" w:hAnsi="Calibri" w:cs="Calibri"/>
          <w:sz w:val="20"/>
        </w:rPr>
        <w:t xml:space="preserve">une armoire de distribution (DC) est fournie et </w:t>
      </w:r>
      <w:r w:rsidR="00A43752" w:rsidRPr="00043F90">
        <w:rPr>
          <w:rFonts w:ascii="Calibri" w:hAnsi="Calibri" w:cs="Calibri"/>
          <w:sz w:val="20"/>
        </w:rPr>
        <w:t xml:space="preserve">une armoire </w:t>
      </w:r>
      <w:r w:rsidR="00195A68" w:rsidRPr="00043F90">
        <w:rPr>
          <w:rFonts w:ascii="Calibri" w:hAnsi="Calibri" w:cs="Calibri"/>
          <w:sz w:val="20"/>
        </w:rPr>
        <w:t>de contrôle</w:t>
      </w:r>
      <w:r w:rsidR="00593F03" w:rsidRPr="00043F90">
        <w:rPr>
          <w:rFonts w:ascii="Calibri" w:hAnsi="Calibri" w:cs="Calibri"/>
          <w:sz w:val="20"/>
        </w:rPr>
        <w:t xml:space="preserve"> (M-Cab)</w:t>
      </w:r>
      <w:r w:rsidR="00195A68" w:rsidRPr="00043F90">
        <w:rPr>
          <w:rFonts w:ascii="Calibri" w:hAnsi="Calibri" w:cs="Calibri"/>
          <w:sz w:val="20"/>
        </w:rPr>
        <w:t xml:space="preserve"> </w:t>
      </w:r>
      <w:r w:rsidR="00864636" w:rsidRPr="00043F90">
        <w:rPr>
          <w:rFonts w:ascii="Calibri" w:hAnsi="Calibri" w:cs="Calibri"/>
          <w:sz w:val="20"/>
        </w:rPr>
        <w:t>« </w:t>
      </w:r>
      <w:r w:rsidR="00A43752" w:rsidRPr="00043F90">
        <w:rPr>
          <w:rFonts w:ascii="Calibri" w:hAnsi="Calibri" w:cs="Calibri"/>
          <w:sz w:val="20"/>
        </w:rPr>
        <w:t>sur mesure</w:t>
      </w:r>
      <w:r w:rsidR="00864636" w:rsidRPr="00043F90">
        <w:rPr>
          <w:rFonts w:ascii="Calibri" w:hAnsi="Calibri" w:cs="Calibri"/>
          <w:sz w:val="20"/>
        </w:rPr>
        <w:t> »</w:t>
      </w:r>
      <w:r w:rsidR="006B56F8" w:rsidRPr="00043F90">
        <w:rPr>
          <w:rFonts w:ascii="Calibri" w:hAnsi="Calibri" w:cs="Calibri"/>
          <w:sz w:val="20"/>
        </w:rPr>
        <w:t xml:space="preserve"> permet de</w:t>
      </w:r>
      <w:r w:rsidR="00A43752" w:rsidRPr="00043F90">
        <w:rPr>
          <w:rFonts w:ascii="Calibri" w:hAnsi="Calibri" w:cs="Calibri"/>
          <w:sz w:val="20"/>
        </w:rPr>
        <w:t xml:space="preserve"> répondre aux exigences de chaque installation.</w:t>
      </w:r>
      <w:r w:rsidR="00E95F60" w:rsidRPr="00043F90">
        <w:rPr>
          <w:rFonts w:ascii="Calibri" w:hAnsi="Calibri" w:cs="Calibri"/>
          <w:sz w:val="20"/>
        </w:rPr>
        <w:t xml:space="preserve"> La</w:t>
      </w:r>
      <w:r w:rsidR="00A43752" w:rsidRPr="00043F90">
        <w:rPr>
          <w:rFonts w:ascii="Calibri" w:hAnsi="Calibri" w:cs="Calibri"/>
          <w:sz w:val="20"/>
        </w:rPr>
        <w:t xml:space="preserve"> solution peut</w:t>
      </w:r>
      <w:r w:rsidR="00E95F60" w:rsidRPr="00043F90">
        <w:rPr>
          <w:rFonts w:ascii="Calibri" w:hAnsi="Calibri" w:cs="Calibri"/>
          <w:sz w:val="20"/>
        </w:rPr>
        <w:t xml:space="preserve"> donc</w:t>
      </w:r>
      <w:r w:rsidR="00A43752" w:rsidRPr="00043F90">
        <w:rPr>
          <w:rFonts w:ascii="Calibri" w:hAnsi="Calibri" w:cs="Calibri"/>
          <w:sz w:val="20"/>
        </w:rPr>
        <w:t xml:space="preserve"> </w:t>
      </w:r>
      <w:r w:rsidR="00E95F60" w:rsidRPr="00043F90">
        <w:rPr>
          <w:rFonts w:ascii="Calibri" w:hAnsi="Calibri" w:cs="Calibri"/>
          <w:sz w:val="20"/>
        </w:rPr>
        <w:t>s’adapter</w:t>
      </w:r>
      <w:r w:rsidR="00A43752" w:rsidRPr="00043F90">
        <w:rPr>
          <w:rFonts w:ascii="Calibri" w:hAnsi="Calibri" w:cs="Calibri"/>
          <w:sz w:val="20"/>
        </w:rPr>
        <w:t xml:space="preserve"> à la plupart des applications de stockage</w:t>
      </w:r>
      <w:r w:rsidR="00E827C8" w:rsidRPr="00043F90">
        <w:rPr>
          <w:rFonts w:ascii="Calibri" w:hAnsi="Calibri" w:cs="Calibri"/>
          <w:sz w:val="20"/>
        </w:rPr>
        <w:t> </w:t>
      </w:r>
      <w:r w:rsidR="00CB6701" w:rsidRPr="00043F90">
        <w:rPr>
          <w:rFonts w:ascii="Calibri" w:hAnsi="Calibri" w:cs="Calibri"/>
          <w:sz w:val="20"/>
        </w:rPr>
        <w:t>connectées au réseau</w:t>
      </w:r>
      <w:r w:rsidR="00A43752" w:rsidRPr="00043F90">
        <w:rPr>
          <w:rFonts w:ascii="Calibri" w:hAnsi="Calibri" w:cs="Calibri"/>
          <w:sz w:val="20"/>
        </w:rPr>
        <w:t>, telles que l'intégration des énergies renouvelables, la régulation de la fréquence et</w:t>
      </w:r>
      <w:r w:rsidR="00515C13" w:rsidRPr="00043F90">
        <w:rPr>
          <w:rFonts w:ascii="Calibri" w:hAnsi="Calibri" w:cs="Calibri"/>
          <w:sz w:val="20"/>
        </w:rPr>
        <w:t xml:space="preserve"> servir de système </w:t>
      </w:r>
      <w:r w:rsidR="00063101" w:rsidRPr="00043F90">
        <w:rPr>
          <w:rFonts w:ascii="Calibri" w:hAnsi="Calibri" w:cs="Calibri"/>
          <w:sz w:val="20"/>
        </w:rPr>
        <w:t>de secours</w:t>
      </w:r>
      <w:r w:rsidR="00A43752" w:rsidRPr="00043F90">
        <w:rPr>
          <w:rFonts w:ascii="Calibri" w:hAnsi="Calibri" w:cs="Calibri"/>
          <w:sz w:val="20"/>
        </w:rPr>
        <w:t>.</w:t>
      </w:r>
      <w:r w:rsidR="00511238" w:rsidRPr="00043F90">
        <w:rPr>
          <w:rFonts w:ascii="Calibri" w:hAnsi="Calibri" w:cs="Calibri"/>
          <w:sz w:val="20"/>
        </w:rPr>
        <w:t xml:space="preserve"> </w:t>
      </w:r>
      <w:r w:rsidR="00385D7F" w:rsidRPr="00043F90">
        <w:rPr>
          <w:rFonts w:ascii="Calibri" w:hAnsi="Calibri" w:cs="Calibri"/>
          <w:i/>
          <w:iCs/>
          <w:color w:val="FF0000"/>
          <w:sz w:val="20"/>
        </w:rPr>
        <w:t xml:space="preserve"> </w:t>
      </w:r>
    </w:p>
    <w:tbl>
      <w:tblPr>
        <w:tblStyle w:val="Grilledutableau1"/>
        <w:tblpPr w:leftFromText="141" w:rightFromText="141" w:vertAnchor="text" w:horzAnchor="margin" w:tblpY="-23"/>
        <w:tblW w:w="9776" w:type="dxa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2551"/>
      </w:tblGrid>
      <w:tr w:rsidR="00475C15" w:rsidRPr="00C03967" w14:paraId="24BE4F8B" w14:textId="77777777" w:rsidTr="00475C15">
        <w:trPr>
          <w:trHeight w:val="1009"/>
        </w:trPr>
        <w:tc>
          <w:tcPr>
            <w:tcW w:w="2405" w:type="dxa"/>
          </w:tcPr>
          <w:p w14:paraId="3A3B0ABE" w14:textId="77777777" w:rsidR="00475C15" w:rsidRPr="00C03967" w:rsidRDefault="00475C15" w:rsidP="00475C15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32F1DF8" wp14:editId="319D9134">
                  <wp:extent cx="998673" cy="1986915"/>
                  <wp:effectExtent l="0" t="0" r="0" b="0"/>
                  <wp:docPr id="4" name="Image 4" descr="C:\Users\ELH\OneDrive - Socomec\Storage\pictures storage\A trier\sunsy_378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H\OneDrive - Socomec\Storage\pictures storage\A trier\sunsy_378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36" cy="199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7DCE4" w14:textId="77777777" w:rsidR="00475C15" w:rsidRPr="00C03967" w:rsidRDefault="00475C15" w:rsidP="00475C15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5C81BD57" w14:textId="77777777" w:rsidR="00475C15" w:rsidRPr="00C03967" w:rsidRDefault="00475C15" w:rsidP="00475C15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2268" w:type="dxa"/>
          </w:tcPr>
          <w:p w14:paraId="78499A61" w14:textId="77777777" w:rsidR="00475C15" w:rsidRPr="00C03967" w:rsidRDefault="00475C15" w:rsidP="00475C15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04D85721" wp14:editId="7A933B4A">
                  <wp:extent cx="1207920" cy="1899920"/>
                  <wp:effectExtent l="0" t="0" r="0" b="5080"/>
                  <wp:docPr id="5" name="Image 5" descr="C:\Users\ELH\AppData\Local\Microsoft\Windows\INetCache\Content.Word\sunsy_38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H\AppData\Local\Microsoft\Windows\INetCache\Content.Word\sunsy_38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15" cy="192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AB46B08" w14:textId="77777777" w:rsidR="00475C15" w:rsidRPr="00C03967" w:rsidRDefault="00475C15" w:rsidP="00475C15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D568FD3" wp14:editId="7CD87AEC">
                  <wp:extent cx="1047623" cy="1987200"/>
                  <wp:effectExtent l="0" t="0" r="635" b="0"/>
                  <wp:docPr id="7" name="Image 7" descr="C:\Users\ELH\AppData\Local\Microsoft\Windows\INetCache\Content.Word\sunsy_37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LH\AppData\Local\Microsoft\Windows\INetCache\Content.Word\sunsy_37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22" cy="2000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67AEC0C" w14:textId="77777777" w:rsidR="00475C15" w:rsidRPr="00C03967" w:rsidRDefault="00475C15" w:rsidP="00475C15">
            <w:pPr>
              <w:jc w:val="center"/>
              <w:rPr>
                <w:rFonts w:ascii="Segoe UI" w:eastAsia="Calibri" w:hAnsi="Segoe UI" w:cs="Segoe UI"/>
                <w:color w:val="000000"/>
                <w:sz w:val="20"/>
                <w:szCs w:val="20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7F0B7E2" wp14:editId="08CB0E3B">
                  <wp:extent cx="1058400" cy="1900189"/>
                  <wp:effectExtent l="0" t="0" r="8890" b="5080"/>
                  <wp:docPr id="6" name="Image 6" descr="C:\Users\ELH\AppData\Local\Microsoft\Windows\INetCache\Content.Word\sunsy_39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H\AppData\Local\Microsoft\Windows\INetCache\Content.Word\sunsy_39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675" cy="190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C15" w:rsidRPr="00C03967" w14:paraId="77ED3E83" w14:textId="77777777" w:rsidTr="00475C15">
        <w:trPr>
          <w:trHeight w:val="750"/>
        </w:trPr>
        <w:tc>
          <w:tcPr>
            <w:tcW w:w="2405" w:type="dxa"/>
            <w:shd w:val="clear" w:color="auto" w:fill="2E74B5"/>
          </w:tcPr>
          <w:p w14:paraId="4E304BF7" w14:textId="77777777" w:rsidR="00043F90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C-Cab XXL – </w:t>
            </w:r>
          </w:p>
          <w:p w14:paraId="33FE5067" w14:textId="042302D5" w:rsidR="00475C15" w:rsidRPr="00931E41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Armoire d</w:t>
            </w:r>
            <w: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e conversion</w:t>
            </w:r>
          </w:p>
        </w:tc>
        <w:tc>
          <w:tcPr>
            <w:tcW w:w="2268" w:type="dxa"/>
            <w:shd w:val="clear" w:color="auto" w:fill="2E74B5"/>
          </w:tcPr>
          <w:p w14:paraId="46F4FF98" w14:textId="19A25852" w:rsidR="00043F90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B-Cab XXL </w:t>
            </w:r>
            <w:r w:rsidR="00043F90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–</w:t>
            </w:r>
          </w:p>
          <w:p w14:paraId="3E5F4F24" w14:textId="417880E1" w:rsidR="00475C15" w:rsidRPr="00864636" w:rsidRDefault="00475C15" w:rsidP="00043F90">
            <w:pPr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 Armoire à</w:t>
            </w:r>
            <w: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 batterie</w:t>
            </w:r>
          </w:p>
        </w:tc>
        <w:tc>
          <w:tcPr>
            <w:tcW w:w="2552" w:type="dxa"/>
            <w:shd w:val="clear" w:color="auto" w:fill="2E74B5"/>
          </w:tcPr>
          <w:p w14:paraId="6679DAA1" w14:textId="77777777" w:rsidR="00043F90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M-Cab XXL – </w:t>
            </w:r>
          </w:p>
          <w:p w14:paraId="696BFC1B" w14:textId="2DDF317A" w:rsidR="00475C15" w:rsidRPr="00864636" w:rsidRDefault="00475C15" w:rsidP="00043F90">
            <w:pPr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Armoire </w:t>
            </w:r>
            <w: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de contrôle</w:t>
            </w:r>
          </w:p>
        </w:tc>
        <w:tc>
          <w:tcPr>
            <w:tcW w:w="2551" w:type="dxa"/>
            <w:shd w:val="clear" w:color="auto" w:fill="2E74B5"/>
          </w:tcPr>
          <w:p w14:paraId="065C4307" w14:textId="77777777" w:rsidR="00043F90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 xml:space="preserve">DC-Cab XXL – </w:t>
            </w:r>
          </w:p>
          <w:p w14:paraId="6EB38474" w14:textId="6BC52D00" w:rsidR="00475C15" w:rsidRPr="00864636" w:rsidRDefault="00475C15" w:rsidP="00043F90">
            <w:pPr>
              <w:jc w:val="center"/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</w:pPr>
            <w:r w:rsidRPr="00864636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Armoire D</w:t>
            </w:r>
            <w: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</w:rPr>
              <w:t>C</w:t>
            </w:r>
          </w:p>
        </w:tc>
      </w:tr>
      <w:tr w:rsidR="00475C15" w:rsidRPr="00C52DA6" w14:paraId="0ECEEB8C" w14:textId="77777777" w:rsidTr="00475C15">
        <w:trPr>
          <w:trHeight w:val="3140"/>
        </w:trPr>
        <w:tc>
          <w:tcPr>
            <w:tcW w:w="2405" w:type="dxa"/>
            <w:shd w:val="clear" w:color="auto" w:fill="DEEAF6"/>
          </w:tcPr>
          <w:p w14:paraId="638428D7" w14:textId="77777777" w:rsidR="00475C15" w:rsidRPr="00043F90" w:rsidRDefault="00475C15" w:rsidP="00475C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Convertisseur d'énergie bidirectionnel</w:t>
            </w:r>
          </w:p>
          <w:p w14:paraId="601FA6AE" w14:textId="77777777" w:rsidR="00475C15" w:rsidRPr="00043F90" w:rsidRDefault="00475C15" w:rsidP="00475C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1.5 MVA / armoire</w:t>
            </w:r>
          </w:p>
          <w:p w14:paraId="394A549A" w14:textId="0ACA570D" w:rsidR="00475C15" w:rsidRPr="00043F90" w:rsidRDefault="00475C15" w:rsidP="00475C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&gt; 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S</w:t>
            </w: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ystème de refroidissement 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hybride liquide / </w:t>
            </w: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air </w:t>
            </w:r>
          </w:p>
          <w:p w14:paraId="739C674B" w14:textId="7BEBC06F" w:rsidR="00475C15" w:rsidRPr="00043F90" w:rsidRDefault="00475C15" w:rsidP="00475C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 w:line="276" w:lineRule="auto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&gt; Fonctionnement 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connecté </w:t>
            </w: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réseau et 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non connecté </w:t>
            </w: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réseau</w:t>
            </w:r>
          </w:p>
          <w:p w14:paraId="52338FCC" w14:textId="77777777" w:rsidR="00475C15" w:rsidRPr="00C52DA6" w:rsidRDefault="00475C15" w:rsidP="00475C15">
            <w:pPr>
              <w:rPr>
                <w:rFonts w:ascii="Calibri" w:eastAsia="Calibri" w:hAnsi="Calibri" w:cs="Times New Roman"/>
                <w:sz w:val="20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Distribution et protection AC/DC</w:t>
            </w:r>
            <w:r w:rsidRPr="00C52DA6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DEEAF6"/>
          </w:tcPr>
          <w:p w14:paraId="38155FE1" w14:textId="499156C9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&gt; Batterie lithium-ion </w:t>
            </w:r>
          </w:p>
          <w:p w14:paraId="270C1EEB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Technologie LFP</w:t>
            </w:r>
          </w:p>
          <w:p w14:paraId="170AF198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372 kWh / rack</w:t>
            </w:r>
          </w:p>
          <w:p w14:paraId="19E30DFE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Gestion thermique par refroidissement liquide</w:t>
            </w:r>
          </w:p>
          <w:p w14:paraId="369C7E79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Système intégré de détection et d'extinction des incendies</w:t>
            </w:r>
          </w:p>
          <w:p w14:paraId="2CACC073" w14:textId="77777777" w:rsidR="00475C15" w:rsidRPr="00C52DA6" w:rsidRDefault="00475C15" w:rsidP="00475C15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552" w:type="dxa"/>
            <w:shd w:val="clear" w:color="auto" w:fill="DEEAF6"/>
          </w:tcPr>
          <w:p w14:paraId="46CCE004" w14:textId="67BB4A43" w:rsidR="00475C15" w:rsidRPr="00043F90" w:rsidRDefault="00475C15" w:rsidP="00043F90">
            <w:p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Armoire de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 </w:t>
            </w: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commande ESS</w:t>
            </w:r>
          </w:p>
          <w:p w14:paraId="3CBAC103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Système de gestion de la batterie intégré</w:t>
            </w:r>
          </w:p>
          <w:p w14:paraId="638B5579" w14:textId="60419A21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 xml:space="preserve">&gt; Dispositifs de </w:t>
            </w:r>
            <w:r w:rsidR="00FC0524"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contrôle à distance</w:t>
            </w:r>
          </w:p>
          <w:p w14:paraId="735AE470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Alimentation auxiliaire</w:t>
            </w:r>
          </w:p>
          <w:p w14:paraId="00FA8298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PLC pour les fonctions d'automatisation et connexion EMS externe</w:t>
            </w:r>
          </w:p>
          <w:p w14:paraId="2570B5E5" w14:textId="77777777" w:rsidR="00475C15" w:rsidRPr="00043F90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Enregistrement des données de la batterie</w:t>
            </w:r>
          </w:p>
          <w:p w14:paraId="6FFEE044" w14:textId="77777777" w:rsidR="00475C15" w:rsidRPr="00C52DA6" w:rsidRDefault="00475C15" w:rsidP="00475C1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</w:rPr>
            </w:pPr>
          </w:p>
          <w:p w14:paraId="1FEE8063" w14:textId="77777777" w:rsidR="00475C15" w:rsidRPr="00C52DA6" w:rsidRDefault="00475C15" w:rsidP="00475C15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551" w:type="dxa"/>
            <w:shd w:val="clear" w:color="auto" w:fill="DEEAF6"/>
          </w:tcPr>
          <w:p w14:paraId="3295B5F2" w14:textId="171CE61A" w:rsidR="00475C15" w:rsidRPr="00043F90" w:rsidRDefault="00475C15" w:rsidP="00043F90">
            <w:pPr>
              <w:autoSpaceDE w:val="0"/>
              <w:autoSpaceDN w:val="0"/>
              <w:adjustRightInd w:val="0"/>
              <w:spacing w:after="13"/>
              <w:rPr>
                <w:rFonts w:ascii="Calibri" w:hAnsi="Calibri" w:cs="Calibri"/>
                <w:kern w:val="2"/>
                <w:sz w:val="20"/>
                <w14:ligatures w14:val="standardContextual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Connexions DC</w:t>
            </w:r>
          </w:p>
          <w:p w14:paraId="3471DA42" w14:textId="77777777" w:rsidR="00475C15" w:rsidRPr="00C52DA6" w:rsidRDefault="00475C15" w:rsidP="00043F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</w:rPr>
            </w:pPr>
            <w:r w:rsidRPr="00043F90">
              <w:rPr>
                <w:rFonts w:ascii="Calibri" w:hAnsi="Calibri" w:cs="Calibri"/>
                <w:kern w:val="2"/>
                <w:sz w:val="20"/>
                <w14:ligatures w14:val="standardContextual"/>
              </w:rPr>
              <w:t>&gt; Plus de 8 B-Cab XXL par système</w:t>
            </w:r>
          </w:p>
        </w:tc>
      </w:tr>
    </w:tbl>
    <w:p w14:paraId="41978E2F" w14:textId="77777777" w:rsidR="00931E41" w:rsidRDefault="00931E41" w:rsidP="00043F90">
      <w:pPr>
        <w:numPr>
          <w:ilvl w:val="0"/>
          <w:numId w:val="1"/>
        </w:numPr>
        <w:autoSpaceDE w:val="0"/>
        <w:autoSpaceDN w:val="0"/>
        <w:adjustRightInd w:val="0"/>
        <w:spacing w:after="13" w:line="240" w:lineRule="auto"/>
        <w:rPr>
          <w:rFonts w:ascii="Segoe UI" w:eastAsia="Times New Roman" w:hAnsi="Segoe UI" w:cs="Segoe UI"/>
          <w:b/>
          <w:bCs/>
          <w:color w:val="003C8A"/>
          <w:sz w:val="21"/>
          <w:szCs w:val="21"/>
          <w:lang w:eastAsia="fr-FR"/>
        </w:rPr>
      </w:pPr>
    </w:p>
    <w:p w14:paraId="0A7F547B" w14:textId="77777777" w:rsidR="009D0131" w:rsidRDefault="009D0131" w:rsidP="00C52DA6">
      <w:pPr>
        <w:rPr>
          <w:rFonts w:ascii="Segoe UI" w:eastAsia="Times New Roman" w:hAnsi="Segoe UI" w:cs="Segoe UI"/>
          <w:b/>
          <w:bCs/>
          <w:color w:val="003C8A"/>
          <w:sz w:val="21"/>
          <w:szCs w:val="21"/>
          <w:lang w:eastAsia="fr-FR"/>
        </w:rPr>
      </w:pPr>
    </w:p>
    <w:p w14:paraId="7CD18D8A" w14:textId="76EA02EE" w:rsidR="00C52DA6" w:rsidRPr="00043F90" w:rsidRDefault="00C8361E" w:rsidP="00C52DA6">
      <w:pPr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</w:pPr>
      <w:r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>La sécurité du réseau au cœur du système SUNSYS HES XXL</w:t>
      </w:r>
    </w:p>
    <w:p w14:paraId="7D6AD680" w14:textId="2F91477D" w:rsidR="00922F06" w:rsidRPr="00043F90" w:rsidRDefault="00922F06" w:rsidP="00B66728">
      <w:pPr>
        <w:jc w:val="both"/>
        <w:rPr>
          <w:sz w:val="20"/>
        </w:rPr>
      </w:pPr>
      <w:r w:rsidRPr="00043F90">
        <w:rPr>
          <w:rFonts w:ascii="Calibri" w:hAnsi="Calibri" w:cs="Calibri"/>
          <w:sz w:val="20"/>
        </w:rPr>
        <w:lastRenderedPageBreak/>
        <w:t xml:space="preserve">SUNSYS HES XXL est conçu avec les meilleures technologies de conversion et de </w:t>
      </w:r>
      <w:r w:rsidR="00842CD1" w:rsidRPr="00043F90">
        <w:rPr>
          <w:rFonts w:ascii="Calibri" w:hAnsi="Calibri" w:cs="Calibri"/>
          <w:sz w:val="20"/>
        </w:rPr>
        <w:t>batterie. La</w:t>
      </w:r>
      <w:r w:rsidRPr="00043F90">
        <w:rPr>
          <w:rFonts w:ascii="Calibri" w:hAnsi="Calibri" w:cs="Calibri"/>
          <w:sz w:val="20"/>
        </w:rPr>
        <w:t xml:space="preserve"> B-Cab</w:t>
      </w:r>
      <w:r w:rsidR="00773F1B" w:rsidRPr="00043F90">
        <w:rPr>
          <w:rFonts w:ascii="Calibri" w:hAnsi="Calibri" w:cs="Calibri"/>
          <w:sz w:val="20"/>
        </w:rPr>
        <w:t xml:space="preserve"> </w:t>
      </w:r>
      <w:r w:rsidR="00F15D50" w:rsidRPr="00043F90">
        <w:rPr>
          <w:rFonts w:ascii="Calibri" w:hAnsi="Calibri" w:cs="Calibri"/>
          <w:sz w:val="20"/>
        </w:rPr>
        <w:t xml:space="preserve">est </w:t>
      </w:r>
      <w:r w:rsidR="00043F90">
        <w:rPr>
          <w:rFonts w:ascii="Calibri" w:hAnsi="Calibri" w:cs="Calibri"/>
          <w:sz w:val="20"/>
        </w:rPr>
        <w:t xml:space="preserve">la batterie </w:t>
      </w:r>
      <w:proofErr w:type="spellStart"/>
      <w:r w:rsidR="00043F90">
        <w:rPr>
          <w:rFonts w:ascii="Calibri" w:hAnsi="Calibri" w:cs="Calibri"/>
          <w:sz w:val="20"/>
        </w:rPr>
        <w:t>EnerOne</w:t>
      </w:r>
      <w:proofErr w:type="spellEnd"/>
      <w:r w:rsidR="00043F90">
        <w:rPr>
          <w:rFonts w:ascii="Calibri" w:hAnsi="Calibri" w:cs="Calibri"/>
          <w:sz w:val="20"/>
        </w:rPr>
        <w:t xml:space="preserve"> de CATL de </w:t>
      </w:r>
      <w:r w:rsidRPr="00043F90">
        <w:rPr>
          <w:rFonts w:ascii="Calibri" w:hAnsi="Calibri" w:cs="Calibri"/>
          <w:sz w:val="20"/>
        </w:rPr>
        <w:t>technologie LFP (Lithium-Fer-Phosphate), refroidie par liquide pouvant supporter l'emballement thermique</w:t>
      </w:r>
      <w:r w:rsidR="00931E41" w:rsidRPr="00043F90">
        <w:rPr>
          <w:rFonts w:ascii="Calibri" w:hAnsi="Calibri" w:cs="Calibri"/>
          <w:sz w:val="20"/>
        </w:rPr>
        <w:t>. U</w:t>
      </w:r>
      <w:r w:rsidR="0076345D" w:rsidRPr="00043F90">
        <w:rPr>
          <w:rFonts w:ascii="Calibri" w:hAnsi="Calibri" w:cs="Calibri"/>
          <w:sz w:val="20"/>
        </w:rPr>
        <w:t xml:space="preserve">n système de </w:t>
      </w:r>
      <w:r w:rsidR="00525824" w:rsidRPr="00043F90">
        <w:rPr>
          <w:sz w:val="20"/>
        </w:rPr>
        <w:t xml:space="preserve">détection et d'extinction d'incendie </w:t>
      </w:r>
      <w:r w:rsidR="0076345D" w:rsidRPr="00043F90">
        <w:rPr>
          <w:sz w:val="20"/>
        </w:rPr>
        <w:t xml:space="preserve">accroît </w:t>
      </w:r>
      <w:r w:rsidR="00931E41" w:rsidRPr="00043F90">
        <w:rPr>
          <w:sz w:val="20"/>
        </w:rPr>
        <w:t xml:space="preserve">par ailleurs la </w:t>
      </w:r>
      <w:r w:rsidR="0076345D" w:rsidRPr="00043F90">
        <w:rPr>
          <w:sz w:val="20"/>
        </w:rPr>
        <w:t xml:space="preserve">sécurité </w:t>
      </w:r>
      <w:r w:rsidR="00931E41" w:rsidRPr="00043F90">
        <w:rPr>
          <w:sz w:val="20"/>
        </w:rPr>
        <w:t>de ses</w:t>
      </w:r>
      <w:r w:rsidR="0076345D" w:rsidRPr="00043F90">
        <w:rPr>
          <w:sz w:val="20"/>
        </w:rPr>
        <w:t xml:space="preserve"> utilisateurs.</w:t>
      </w:r>
    </w:p>
    <w:p w14:paraId="56094C07" w14:textId="704BA363" w:rsidR="00D75B6B" w:rsidRPr="00043F90" w:rsidRDefault="00D75B6B" w:rsidP="00F93A0B">
      <w:pPr>
        <w:pStyle w:val="gmail-msonospacing"/>
        <w:spacing w:after="0"/>
        <w:jc w:val="both"/>
        <w:rPr>
          <w:rFonts w:ascii="Calibri" w:hAnsi="Calibri" w:cs="Calibri"/>
          <w:sz w:val="20"/>
          <w:szCs w:val="22"/>
        </w:rPr>
      </w:pPr>
      <w:r w:rsidRPr="00043F90">
        <w:rPr>
          <w:rFonts w:ascii="Calibri" w:hAnsi="Calibri" w:cs="Calibri"/>
          <w:sz w:val="20"/>
          <w:szCs w:val="22"/>
        </w:rPr>
        <w:t xml:space="preserve">Cette combinaison lui confère une fiabilité et une sécurité conformes aux normes européennes les plus strictes. L'ensemble du système est certifié suivant </w:t>
      </w:r>
      <w:r w:rsidR="00773F1B" w:rsidRPr="00043F90">
        <w:rPr>
          <w:rFonts w:ascii="Calibri" w:hAnsi="Calibri" w:cs="Calibri"/>
          <w:sz w:val="20"/>
          <w:szCs w:val="22"/>
        </w:rPr>
        <w:t xml:space="preserve">la norme </w:t>
      </w:r>
      <w:r w:rsidR="00475C15" w:rsidRPr="00043F90">
        <w:rPr>
          <w:rFonts w:ascii="Calibri" w:hAnsi="Calibri" w:cs="Calibri"/>
          <w:sz w:val="20"/>
          <w:szCs w:val="22"/>
        </w:rPr>
        <w:t xml:space="preserve">de </w:t>
      </w:r>
      <w:r w:rsidR="00773F1B" w:rsidRPr="00043F90">
        <w:rPr>
          <w:rFonts w:ascii="Calibri" w:hAnsi="Calibri" w:cs="Calibri"/>
          <w:sz w:val="20"/>
          <w:szCs w:val="22"/>
        </w:rPr>
        <w:t xml:space="preserve">sécurité </w:t>
      </w:r>
      <w:r w:rsidRPr="00043F90">
        <w:rPr>
          <w:rFonts w:ascii="Calibri" w:hAnsi="Calibri" w:cs="Calibri"/>
          <w:sz w:val="20"/>
          <w:szCs w:val="22"/>
        </w:rPr>
        <w:t>UL9540</w:t>
      </w:r>
      <w:r w:rsidR="00773F1B" w:rsidRPr="00043F90">
        <w:rPr>
          <w:rFonts w:ascii="Calibri" w:hAnsi="Calibri" w:cs="Calibri"/>
          <w:sz w:val="20"/>
          <w:szCs w:val="22"/>
        </w:rPr>
        <w:t>.</w:t>
      </w:r>
    </w:p>
    <w:p w14:paraId="4B070267" w14:textId="50C948B5" w:rsidR="00CC6CB4" w:rsidRPr="00043F90" w:rsidRDefault="00B41321" w:rsidP="00C8740E">
      <w:pPr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</w:pPr>
      <w:r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 xml:space="preserve">L’expertise de Socomec pour </w:t>
      </w:r>
      <w:r w:rsidR="00115A7B"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 xml:space="preserve">optimiser </w:t>
      </w:r>
      <w:r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>la gestion</w:t>
      </w:r>
      <w:r w:rsidR="00CC6CB4"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 xml:space="preserve"> des actifs de stockage</w:t>
      </w:r>
      <w:r w:rsidRPr="00043F90">
        <w:rPr>
          <w:rFonts w:ascii="Segoe UI" w:eastAsia="Times New Roman" w:hAnsi="Segoe UI" w:cs="Segoe UI"/>
          <w:b/>
          <w:bCs/>
          <w:color w:val="003C8A"/>
          <w:sz w:val="20"/>
          <w:szCs w:val="21"/>
          <w:lang w:eastAsia="fr-FR"/>
        </w:rPr>
        <w:t xml:space="preserve"> réseau</w:t>
      </w:r>
    </w:p>
    <w:p w14:paraId="79D3AB27" w14:textId="7496A18E" w:rsidR="0019418D" w:rsidRPr="00043F90" w:rsidRDefault="004C7B86" w:rsidP="00931E41">
      <w:pPr>
        <w:jc w:val="both"/>
        <w:rPr>
          <w:sz w:val="20"/>
        </w:rPr>
      </w:pPr>
      <w:r w:rsidRPr="00043F90">
        <w:rPr>
          <w:sz w:val="20"/>
        </w:rPr>
        <w:t xml:space="preserve">Le système </w:t>
      </w:r>
      <w:r w:rsidR="0019418D" w:rsidRPr="00043F90">
        <w:rPr>
          <w:sz w:val="20"/>
        </w:rPr>
        <w:t xml:space="preserve">SUNSYS HES XXL s'accompagne </w:t>
      </w:r>
      <w:r w:rsidRPr="00043F90">
        <w:rPr>
          <w:sz w:val="20"/>
        </w:rPr>
        <w:t>de</w:t>
      </w:r>
      <w:r w:rsidR="0019418D" w:rsidRPr="00043F90">
        <w:rPr>
          <w:sz w:val="20"/>
        </w:rPr>
        <w:t xml:space="preserve"> services</w:t>
      </w:r>
      <w:r w:rsidRPr="00043F90">
        <w:rPr>
          <w:sz w:val="20"/>
        </w:rPr>
        <w:t xml:space="preserve"> complets</w:t>
      </w:r>
      <w:r w:rsidR="0019418D" w:rsidRPr="00043F90">
        <w:rPr>
          <w:sz w:val="20"/>
        </w:rPr>
        <w:t xml:space="preserve"> gérés par une équipe d'exper</w:t>
      </w:r>
      <w:r w:rsidR="002B1210" w:rsidRPr="00043F90">
        <w:rPr>
          <w:sz w:val="20"/>
        </w:rPr>
        <w:t>ts, i</w:t>
      </w:r>
      <w:r w:rsidR="00105B03" w:rsidRPr="00043F90">
        <w:rPr>
          <w:sz w:val="20"/>
        </w:rPr>
        <w:t>ncluant u</w:t>
      </w:r>
      <w:r w:rsidR="0019418D" w:rsidRPr="00043F90">
        <w:rPr>
          <w:sz w:val="20"/>
        </w:rPr>
        <w:t>ne assistance avant-vente</w:t>
      </w:r>
      <w:r w:rsidR="00105B03" w:rsidRPr="00043F90">
        <w:rPr>
          <w:sz w:val="20"/>
        </w:rPr>
        <w:t xml:space="preserve"> avec</w:t>
      </w:r>
      <w:r w:rsidR="00450135" w:rsidRPr="00043F90">
        <w:rPr>
          <w:sz w:val="20"/>
        </w:rPr>
        <w:t xml:space="preserve"> </w:t>
      </w:r>
      <w:r w:rsidR="0019418D" w:rsidRPr="00043F90">
        <w:rPr>
          <w:sz w:val="20"/>
        </w:rPr>
        <w:t>l'analyse des besoins</w:t>
      </w:r>
      <w:r w:rsidR="00105B03" w:rsidRPr="00043F90">
        <w:rPr>
          <w:sz w:val="20"/>
        </w:rPr>
        <w:t xml:space="preserve"> de l’installation</w:t>
      </w:r>
      <w:r w:rsidR="0019418D" w:rsidRPr="00043F90">
        <w:rPr>
          <w:sz w:val="20"/>
        </w:rPr>
        <w:t xml:space="preserve">, la conception technique d'avant-projet et l'évaluation de la solution.  Un soutien complet à la conception de la solution et des services de mise en œuvre du projet sont disponibles par le biais d'une co-ingénierie avec le client, ainsi que des services </w:t>
      </w:r>
      <w:r w:rsidR="00F15D50" w:rsidRPr="00043F90">
        <w:rPr>
          <w:sz w:val="20"/>
        </w:rPr>
        <w:t xml:space="preserve">de </w:t>
      </w:r>
      <w:proofErr w:type="gramStart"/>
      <w:r w:rsidR="00F15D50" w:rsidRPr="00043F90">
        <w:rPr>
          <w:sz w:val="20"/>
        </w:rPr>
        <w:t>tests ,</w:t>
      </w:r>
      <w:proofErr w:type="gramEnd"/>
      <w:r w:rsidR="00F15D50" w:rsidRPr="00043F90">
        <w:rPr>
          <w:sz w:val="20"/>
        </w:rPr>
        <w:t xml:space="preserve"> </w:t>
      </w:r>
      <w:r w:rsidR="0019418D" w:rsidRPr="00043F90">
        <w:rPr>
          <w:sz w:val="20"/>
        </w:rPr>
        <w:t>de mise en service, d'exploitation et de maintenance.</w:t>
      </w:r>
    </w:p>
    <w:p w14:paraId="3DD2D080" w14:textId="77CBAFCB" w:rsidR="0019418D" w:rsidRPr="00043F90" w:rsidRDefault="0019418D" w:rsidP="00931E41">
      <w:pPr>
        <w:jc w:val="both"/>
        <w:rPr>
          <w:sz w:val="20"/>
        </w:rPr>
      </w:pPr>
      <w:r w:rsidRPr="00043F90">
        <w:rPr>
          <w:sz w:val="20"/>
        </w:rPr>
        <w:t>Des contrats de maintenance préventive et des extensions de garantie sont disponibles pour assurer la fiabilité et la performance du système et optimiser sa durée de vie.</w:t>
      </w:r>
    </w:p>
    <w:p w14:paraId="41F1216E" w14:textId="5B959F75" w:rsidR="00CC6CB4" w:rsidRDefault="0019418D" w:rsidP="00931E41">
      <w:pPr>
        <w:jc w:val="both"/>
      </w:pPr>
      <w:r w:rsidRPr="00043F90">
        <w:rPr>
          <w:sz w:val="20"/>
        </w:rPr>
        <w:t xml:space="preserve">La gestion quotidienne du système peut être encore simplifiée en le connectant au cloud, ce qui permet à l'opérateur de surveiller le système 24 heures sur 24 et 7 jours sur 7 grâce à l'application </w:t>
      </w:r>
      <w:r>
        <w:t>mobile SoLive et de suivre les indicateurs grâce à un tableau de bord personnalisé.</w:t>
      </w:r>
    </w:p>
    <w:tbl>
      <w:tblPr>
        <w:tblpPr w:leftFromText="141" w:rightFromText="141" w:vertAnchor="text" w:horzAnchor="page" w:tblpX="901" w:tblpY="296"/>
        <w:tblW w:w="13643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236"/>
        <w:gridCol w:w="236"/>
        <w:gridCol w:w="3119"/>
        <w:gridCol w:w="2539"/>
      </w:tblGrid>
      <w:tr w:rsidR="007C5C0F" w:rsidRPr="0022084B" w14:paraId="109E7579" w14:textId="77777777" w:rsidTr="009D0131">
        <w:tc>
          <w:tcPr>
            <w:tcW w:w="7513" w:type="dxa"/>
          </w:tcPr>
          <w:p w14:paraId="0CDA0823" w14:textId="77777777" w:rsidR="007C5C0F" w:rsidRPr="00AB34A2" w:rsidRDefault="007C5C0F" w:rsidP="009D0131">
            <w:pPr>
              <w:spacing w:before="120" w:after="120" w:line="22" w:lineRule="atLeast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b/>
                <w:color w:val="003C8A"/>
                <w:sz w:val="20"/>
                <w:szCs w:val="20"/>
              </w:rPr>
              <w:t>A propos de Socomec</w:t>
            </w:r>
          </w:p>
        </w:tc>
        <w:tc>
          <w:tcPr>
            <w:tcW w:w="236" w:type="dxa"/>
          </w:tcPr>
          <w:p w14:paraId="2376E4E8" w14:textId="77777777" w:rsidR="007C5C0F" w:rsidRPr="00AB34A2" w:rsidRDefault="007C5C0F" w:rsidP="009D0131">
            <w:pPr>
              <w:spacing w:before="120" w:after="120" w:line="22" w:lineRule="atLeast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3868FB" w14:textId="77777777" w:rsidR="007C5C0F" w:rsidRPr="00AB34A2" w:rsidRDefault="007C5C0F" w:rsidP="009D0131">
            <w:pPr>
              <w:spacing w:before="120" w:after="120" w:line="22" w:lineRule="atLeast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2030B6" w14:textId="77777777" w:rsidR="007C5C0F" w:rsidRPr="00AB34A2" w:rsidRDefault="007C5C0F" w:rsidP="009D0131">
            <w:pPr>
              <w:spacing w:before="120" w:after="120" w:line="22" w:lineRule="atLeast"/>
              <w:ind w:right="-401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b/>
                <w:color w:val="003C8A"/>
                <w:sz w:val="20"/>
                <w:szCs w:val="20"/>
              </w:rPr>
              <w:t>Contacts presse</w:t>
            </w:r>
          </w:p>
        </w:tc>
        <w:tc>
          <w:tcPr>
            <w:tcW w:w="2539" w:type="dxa"/>
            <w:shd w:val="clear" w:color="auto" w:fill="auto"/>
          </w:tcPr>
          <w:p w14:paraId="5BF9938D" w14:textId="77777777" w:rsidR="007C5C0F" w:rsidRPr="0022084B" w:rsidRDefault="007C5C0F" w:rsidP="009D0131">
            <w:pPr>
              <w:spacing w:before="120" w:after="120" w:line="22" w:lineRule="atLeast"/>
              <w:jc w:val="both"/>
              <w:rPr>
                <w:rFonts w:eastAsia="Arial" w:cstheme="minorHAnsi"/>
                <w:b/>
                <w:color w:val="003C8A"/>
                <w:sz w:val="21"/>
                <w:szCs w:val="21"/>
              </w:rPr>
            </w:pPr>
          </w:p>
        </w:tc>
      </w:tr>
      <w:tr w:rsidR="007C5C0F" w:rsidRPr="0022084B" w14:paraId="3886EE09" w14:textId="77777777" w:rsidTr="009D0131">
        <w:trPr>
          <w:trHeight w:val="659"/>
        </w:trPr>
        <w:tc>
          <w:tcPr>
            <w:tcW w:w="7513" w:type="dxa"/>
          </w:tcPr>
          <w:p w14:paraId="2A0D4FFE" w14:textId="77777777" w:rsidR="007C5C0F" w:rsidRPr="00AB34A2" w:rsidRDefault="007C5C0F" w:rsidP="009D0131">
            <w:pPr>
              <w:spacing w:line="22" w:lineRule="atLeast"/>
              <w:jc w:val="both"/>
              <w:rPr>
                <w:rFonts w:eastAsia="Arial" w:cstheme="minorHAnsi"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color w:val="003C8A"/>
                <w:sz w:val="20"/>
                <w:szCs w:val="20"/>
              </w:rPr>
              <w:t>Créé en 1922, SOCOMEC est un groupe industriel indépendant de plus de 3600 experts répartis à travers le monde dans 28 filiales. Sa vocation : la disponibilité, le contrôle et la sécurité des réseaux électriques basse tension au service de la performance énergétique de ses clients. En 2021, SOCOMEC a réalisé un chiffre d’affaires de 604,4 millions d’euros.</w:t>
            </w:r>
          </w:p>
          <w:p w14:paraId="5BC27D1E" w14:textId="77777777" w:rsidR="007C5C0F" w:rsidRPr="00AB34A2" w:rsidRDefault="007C5C0F" w:rsidP="009D0131">
            <w:pPr>
              <w:spacing w:line="22" w:lineRule="atLeast"/>
              <w:jc w:val="both"/>
              <w:rPr>
                <w:rFonts w:eastAsia="Arial" w:cstheme="minorHAnsi"/>
                <w:color w:val="003C8A"/>
                <w:sz w:val="20"/>
                <w:szCs w:val="20"/>
              </w:rPr>
            </w:pPr>
            <w:r w:rsidRPr="00AB34A2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2B6698C7" wp14:editId="19FFC50A">
                  <wp:extent cx="4667244" cy="659958"/>
                  <wp:effectExtent l="0" t="0" r="635" b="0"/>
                  <wp:docPr id="1" name="Image 1" descr="picto_785_a_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icto_785_a_en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44" cy="6599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F46CA6E" w14:textId="77777777" w:rsidR="007C5C0F" w:rsidRPr="00AB34A2" w:rsidRDefault="007C5C0F" w:rsidP="009D0131">
            <w:pPr>
              <w:spacing w:line="22" w:lineRule="atLeast"/>
              <w:jc w:val="both"/>
              <w:rPr>
                <w:rFonts w:eastAsia="Arial" w:cstheme="minorHAnsi"/>
                <w:color w:val="003C8A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D0B254" w14:textId="77777777" w:rsidR="007C5C0F" w:rsidRPr="00AB34A2" w:rsidRDefault="007C5C0F" w:rsidP="009D0131">
            <w:pPr>
              <w:spacing w:line="22" w:lineRule="atLeast"/>
              <w:jc w:val="both"/>
              <w:rPr>
                <w:rFonts w:eastAsia="Arial" w:cstheme="minorHAnsi"/>
                <w:color w:val="003C8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562E97" w14:textId="77777777" w:rsidR="007C5C0F" w:rsidRPr="00AB34A2" w:rsidRDefault="007C5C0F" w:rsidP="009D0131">
            <w:pPr>
              <w:spacing w:after="60" w:line="240" w:lineRule="auto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b/>
                <w:color w:val="003C8A"/>
                <w:sz w:val="20"/>
                <w:szCs w:val="20"/>
              </w:rPr>
              <w:t>BPR France</w:t>
            </w:r>
          </w:p>
          <w:p w14:paraId="334603D0" w14:textId="77777777" w:rsidR="007C5C0F" w:rsidRPr="00AB34A2" w:rsidRDefault="007C5C0F" w:rsidP="009D0131">
            <w:pPr>
              <w:spacing w:after="60" w:line="240" w:lineRule="auto"/>
              <w:ind w:right="-543"/>
              <w:jc w:val="both"/>
              <w:rPr>
                <w:rFonts w:eastAsia="Arial" w:cstheme="minorHAnsi"/>
                <w:bCs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bCs/>
                <w:color w:val="003C8A"/>
                <w:sz w:val="20"/>
                <w:szCs w:val="20"/>
              </w:rPr>
              <w:t xml:space="preserve">Pierre Bethuel </w:t>
            </w:r>
          </w:p>
          <w:p w14:paraId="200D1BCE" w14:textId="77777777" w:rsidR="007C5C0F" w:rsidRPr="00AB34A2" w:rsidRDefault="006213ED" w:rsidP="009D0131">
            <w:pPr>
              <w:spacing w:after="60" w:line="240" w:lineRule="auto"/>
              <w:ind w:right="-543"/>
              <w:jc w:val="both"/>
              <w:rPr>
                <w:rFonts w:eastAsia="Arial" w:cstheme="minorHAnsi"/>
                <w:bCs/>
                <w:color w:val="003C8A"/>
                <w:sz w:val="20"/>
                <w:szCs w:val="20"/>
              </w:rPr>
            </w:pPr>
            <w:hyperlink r:id="rId13" w:history="1">
              <w:r w:rsidR="007C5C0F" w:rsidRPr="00AB34A2">
                <w:rPr>
                  <w:rStyle w:val="Lienhypertexte"/>
                  <w:rFonts w:eastAsia="Arial" w:cstheme="minorHAnsi"/>
                  <w:bCs/>
                  <w:sz w:val="20"/>
                  <w:szCs w:val="20"/>
                </w:rPr>
                <w:t>pierre@bprfrance.com</w:t>
              </w:r>
            </w:hyperlink>
          </w:p>
          <w:p w14:paraId="31F06E20" w14:textId="77777777" w:rsidR="007C5C0F" w:rsidRPr="0019418D" w:rsidRDefault="007C5C0F" w:rsidP="009D0131">
            <w:pPr>
              <w:spacing w:after="60" w:line="240" w:lineRule="auto"/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</w:pPr>
            <w:r w:rsidRPr="0019418D"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  <w:t>Djaafar Ounadjela</w:t>
            </w:r>
          </w:p>
          <w:p w14:paraId="6FBD959E" w14:textId="77777777" w:rsidR="007C5C0F" w:rsidRPr="0019418D" w:rsidRDefault="006213ED" w:rsidP="009D0131">
            <w:pPr>
              <w:spacing w:after="60" w:line="240" w:lineRule="auto"/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</w:pPr>
            <w:hyperlink r:id="rId14" w:history="1">
              <w:r w:rsidR="007C5C0F" w:rsidRPr="0019418D">
                <w:rPr>
                  <w:rStyle w:val="Lienhypertexte"/>
                  <w:rFonts w:eastAsia="Arial" w:cstheme="minorHAnsi"/>
                  <w:bCs/>
                  <w:sz w:val="20"/>
                  <w:szCs w:val="20"/>
                  <w:lang w:val="en-US"/>
                </w:rPr>
                <w:t>djaafar@bprfrance.com</w:t>
              </w:r>
            </w:hyperlink>
          </w:p>
          <w:p w14:paraId="5721BFFD" w14:textId="77777777" w:rsidR="007C5C0F" w:rsidRPr="0019418D" w:rsidRDefault="007C5C0F" w:rsidP="009D0131">
            <w:pPr>
              <w:spacing w:after="60" w:line="240" w:lineRule="auto"/>
              <w:jc w:val="both"/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</w:pPr>
            <w:r w:rsidRPr="0019418D"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  <w:t>Tél</w:t>
            </w:r>
            <w:bookmarkStart w:id="0" w:name="_GoBack"/>
            <w:bookmarkEnd w:id="0"/>
            <w:r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  <w:t xml:space="preserve"> </w:t>
            </w:r>
            <w:r w:rsidRPr="0019418D">
              <w:rPr>
                <w:rFonts w:eastAsia="Arial" w:cstheme="minorHAnsi"/>
                <w:bCs/>
                <w:color w:val="003C8A"/>
                <w:sz w:val="20"/>
                <w:szCs w:val="20"/>
                <w:lang w:val="en-US"/>
              </w:rPr>
              <w:t>: 01 83 62 88 10</w:t>
            </w:r>
          </w:p>
          <w:p w14:paraId="44CF34D6" w14:textId="77777777" w:rsidR="007C5C0F" w:rsidRPr="00821433" w:rsidRDefault="007C5C0F" w:rsidP="009D0131">
            <w:pPr>
              <w:spacing w:before="120" w:after="120" w:line="240" w:lineRule="auto"/>
              <w:ind w:right="128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  <w:lang w:val="it-IT"/>
              </w:rPr>
            </w:pPr>
            <w:r w:rsidRPr="00821433">
              <w:rPr>
                <w:rFonts w:eastAsia="Arial" w:cstheme="minorHAnsi"/>
                <w:b/>
                <w:color w:val="003C8A"/>
                <w:sz w:val="20"/>
                <w:szCs w:val="20"/>
                <w:lang w:val="it-IT"/>
              </w:rPr>
              <w:t>Contact pub</w:t>
            </w:r>
          </w:p>
          <w:p w14:paraId="5C2ACD1B" w14:textId="77777777" w:rsidR="007C5C0F" w:rsidRPr="00821433" w:rsidRDefault="007C5C0F" w:rsidP="009D0131">
            <w:pPr>
              <w:spacing w:after="60" w:line="240" w:lineRule="auto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  <w:lang w:val="it-IT"/>
              </w:rPr>
            </w:pPr>
            <w:r w:rsidRPr="00821433">
              <w:rPr>
                <w:rFonts w:eastAsia="Arial" w:cstheme="minorHAnsi"/>
                <w:b/>
                <w:color w:val="003C8A"/>
                <w:sz w:val="20"/>
                <w:szCs w:val="20"/>
                <w:lang w:val="it-IT"/>
              </w:rPr>
              <w:t>Primaklasse Italy</w:t>
            </w:r>
          </w:p>
          <w:p w14:paraId="710B7D11" w14:textId="77777777" w:rsidR="007C5C0F" w:rsidRPr="00821433" w:rsidRDefault="007C5C0F" w:rsidP="009D0131">
            <w:pPr>
              <w:spacing w:after="60" w:line="240" w:lineRule="auto"/>
              <w:jc w:val="both"/>
              <w:rPr>
                <w:rFonts w:eastAsia="Arial" w:cstheme="minorHAnsi"/>
                <w:bCs/>
                <w:color w:val="003C8A"/>
                <w:sz w:val="20"/>
                <w:szCs w:val="20"/>
                <w:lang w:val="it-IT"/>
              </w:rPr>
            </w:pPr>
            <w:r w:rsidRPr="00821433">
              <w:rPr>
                <w:rFonts w:eastAsia="Arial" w:cstheme="minorHAnsi"/>
                <w:bCs/>
                <w:color w:val="003C8A"/>
                <w:sz w:val="20"/>
                <w:szCs w:val="20"/>
                <w:lang w:val="it-IT"/>
              </w:rPr>
              <w:t>Debora Cavallotti</w:t>
            </w:r>
          </w:p>
          <w:p w14:paraId="60C9E378" w14:textId="77777777" w:rsidR="007C5C0F" w:rsidRPr="00AB34A2" w:rsidRDefault="007C5C0F" w:rsidP="009D0131">
            <w:pPr>
              <w:spacing w:after="60" w:line="240" w:lineRule="auto"/>
              <w:jc w:val="both"/>
              <w:rPr>
                <w:rFonts w:eastAsia="Arial" w:cstheme="minorHAnsi"/>
                <w:bCs/>
                <w:color w:val="003C8A"/>
                <w:sz w:val="20"/>
                <w:szCs w:val="20"/>
              </w:rPr>
            </w:pPr>
            <w:r w:rsidRPr="00AB34A2">
              <w:rPr>
                <w:rFonts w:eastAsia="Arial" w:cstheme="minorHAnsi"/>
                <w:bCs/>
                <w:color w:val="003C8A"/>
                <w:sz w:val="20"/>
                <w:szCs w:val="20"/>
              </w:rPr>
              <w:t>Tél : +39 039 6886101</w:t>
            </w:r>
          </w:p>
          <w:p w14:paraId="3C285AD2" w14:textId="77777777" w:rsidR="007C5C0F" w:rsidRPr="00AB34A2" w:rsidRDefault="006213ED" w:rsidP="009D0131">
            <w:pPr>
              <w:spacing w:line="240" w:lineRule="auto"/>
              <w:jc w:val="both"/>
              <w:rPr>
                <w:rFonts w:eastAsia="Arial" w:cstheme="minorHAnsi"/>
                <w:b/>
                <w:color w:val="003C8A"/>
                <w:sz w:val="20"/>
                <w:szCs w:val="20"/>
              </w:rPr>
            </w:pPr>
            <w:hyperlink r:id="rId15" w:history="1">
              <w:r w:rsidR="007C5C0F" w:rsidRPr="00AB34A2">
                <w:rPr>
                  <w:rStyle w:val="Lienhypertexte"/>
                  <w:rFonts w:eastAsia="Arial" w:cstheme="minorHAnsi"/>
                  <w:bCs/>
                  <w:sz w:val="20"/>
                  <w:szCs w:val="20"/>
                </w:rPr>
                <w:t>dcavallotti@primaklasse.com</w:t>
              </w:r>
            </w:hyperlink>
          </w:p>
        </w:tc>
        <w:tc>
          <w:tcPr>
            <w:tcW w:w="2539" w:type="dxa"/>
          </w:tcPr>
          <w:p w14:paraId="7330F72A" w14:textId="77777777" w:rsidR="007C5C0F" w:rsidRPr="0022084B" w:rsidRDefault="007C5C0F" w:rsidP="009D0131">
            <w:pPr>
              <w:spacing w:line="22" w:lineRule="atLeast"/>
              <w:jc w:val="both"/>
              <w:rPr>
                <w:rFonts w:eastAsia="Arial" w:cstheme="minorHAnsi"/>
                <w:color w:val="003C8A"/>
                <w:sz w:val="15"/>
                <w:szCs w:val="15"/>
              </w:rPr>
            </w:pPr>
          </w:p>
        </w:tc>
      </w:tr>
    </w:tbl>
    <w:p w14:paraId="191E9BFF" w14:textId="77777777" w:rsidR="0019418D" w:rsidRDefault="0019418D" w:rsidP="0019418D"/>
    <w:p w14:paraId="69D09ADA" w14:textId="77777777" w:rsidR="0019418D" w:rsidRPr="00CC6CB4" w:rsidRDefault="0019418D" w:rsidP="0019418D"/>
    <w:sectPr w:rsidR="0019418D" w:rsidRPr="00CC6CB4" w:rsidSect="00931E41">
      <w:headerReference w:type="default" r:id="rId1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A636" w14:textId="77777777" w:rsidR="006213ED" w:rsidRDefault="006213ED" w:rsidP="0082682E">
      <w:pPr>
        <w:spacing w:after="0" w:line="240" w:lineRule="auto"/>
      </w:pPr>
      <w:r>
        <w:separator/>
      </w:r>
    </w:p>
  </w:endnote>
  <w:endnote w:type="continuationSeparator" w:id="0">
    <w:p w14:paraId="4FE1F284" w14:textId="77777777" w:rsidR="006213ED" w:rsidRDefault="006213ED" w:rsidP="0082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D710" w14:textId="77777777" w:rsidR="006213ED" w:rsidRDefault="006213ED" w:rsidP="0082682E">
      <w:pPr>
        <w:spacing w:after="0" w:line="240" w:lineRule="auto"/>
      </w:pPr>
      <w:r>
        <w:separator/>
      </w:r>
    </w:p>
  </w:footnote>
  <w:footnote w:type="continuationSeparator" w:id="0">
    <w:p w14:paraId="0315163E" w14:textId="77777777" w:rsidR="006213ED" w:rsidRDefault="006213ED" w:rsidP="0082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97"/>
      <w:gridCol w:w="4375"/>
    </w:tblGrid>
    <w:tr w:rsidR="0082682E" w:rsidRPr="006B15B1" w14:paraId="0F24E277" w14:textId="77777777" w:rsidTr="00B24FD5">
      <w:tc>
        <w:tcPr>
          <w:tcW w:w="5172" w:type="dxa"/>
          <w:shd w:val="clear" w:color="auto" w:fill="auto"/>
          <w:vAlign w:val="center"/>
        </w:tcPr>
        <w:p w14:paraId="2A99BEB3" w14:textId="77777777" w:rsidR="0082682E" w:rsidRPr="008803CE" w:rsidRDefault="0082682E" w:rsidP="0082682E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43048E86" wp14:editId="20DC953B">
                <wp:extent cx="1853738" cy="311553"/>
                <wp:effectExtent l="0" t="0" r="0" b="0"/>
                <wp:docPr id="307388066" name="Image 307388066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15" cy="316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67359F15" w14:textId="176E4B8A" w:rsidR="0082682E" w:rsidRPr="006B15B1" w:rsidRDefault="0082682E" w:rsidP="0082682E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sz w:val="24"/>
              <w:szCs w:val="24"/>
            </w:rPr>
          </w:pPr>
          <w:r>
            <w:rPr>
              <w:rFonts w:ascii="Arial" w:hAnsi="Arial"/>
              <w:b/>
              <w:bCs/>
              <w:color w:val="003C8A"/>
              <w:sz w:val="24"/>
              <w:szCs w:val="24"/>
            </w:rPr>
            <w:t>Communiqué de presse</w:t>
          </w:r>
        </w:p>
      </w:tc>
    </w:tr>
  </w:tbl>
  <w:p w14:paraId="1510B00C" w14:textId="77777777" w:rsidR="0082682E" w:rsidRPr="0042159E" w:rsidRDefault="0082682E" w:rsidP="0082682E">
    <w:pPr>
      <w:pStyle w:val="En-tte"/>
      <w:rPr>
        <w:sz w:val="20"/>
        <w:szCs w:val="20"/>
      </w:rPr>
    </w:pPr>
  </w:p>
  <w:p w14:paraId="3C3E7468" w14:textId="77777777" w:rsidR="0082682E" w:rsidRPr="0042159E" w:rsidRDefault="0082682E" w:rsidP="0082682E">
    <w:pPr>
      <w:pStyle w:val="En-tte"/>
      <w:rPr>
        <w:sz w:val="20"/>
        <w:szCs w:val="20"/>
      </w:rPr>
    </w:pPr>
  </w:p>
  <w:p w14:paraId="55941CDE" w14:textId="77777777" w:rsidR="0082682E" w:rsidRDefault="008268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0CD89"/>
    <w:multiLevelType w:val="hybridMultilevel"/>
    <w:tmpl w:val="F4A450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844C7D"/>
    <w:multiLevelType w:val="hybridMultilevel"/>
    <w:tmpl w:val="7B9EA7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67A881"/>
    <w:multiLevelType w:val="hybridMultilevel"/>
    <w:tmpl w:val="F11A02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E"/>
    <w:rsid w:val="00020BED"/>
    <w:rsid w:val="00042AE5"/>
    <w:rsid w:val="00043F90"/>
    <w:rsid w:val="00063101"/>
    <w:rsid w:val="000C5D57"/>
    <w:rsid w:val="000E2440"/>
    <w:rsid w:val="000E6C99"/>
    <w:rsid w:val="00105B03"/>
    <w:rsid w:val="00115A7B"/>
    <w:rsid w:val="0019418D"/>
    <w:rsid w:val="00195A68"/>
    <w:rsid w:val="00254B73"/>
    <w:rsid w:val="00266ADC"/>
    <w:rsid w:val="00277417"/>
    <w:rsid w:val="002B1210"/>
    <w:rsid w:val="003072D0"/>
    <w:rsid w:val="00310095"/>
    <w:rsid w:val="00385D7F"/>
    <w:rsid w:val="003C11E0"/>
    <w:rsid w:val="003D365B"/>
    <w:rsid w:val="00450135"/>
    <w:rsid w:val="00475C15"/>
    <w:rsid w:val="004854A7"/>
    <w:rsid w:val="004C7B86"/>
    <w:rsid w:val="00510B28"/>
    <w:rsid w:val="00511238"/>
    <w:rsid w:val="00515C13"/>
    <w:rsid w:val="00525824"/>
    <w:rsid w:val="00593F03"/>
    <w:rsid w:val="006213ED"/>
    <w:rsid w:val="006571F6"/>
    <w:rsid w:val="006B56F8"/>
    <w:rsid w:val="006F2C56"/>
    <w:rsid w:val="0076345D"/>
    <w:rsid w:val="007731B6"/>
    <w:rsid w:val="00773F1B"/>
    <w:rsid w:val="00774551"/>
    <w:rsid w:val="007C5C0F"/>
    <w:rsid w:val="007C6893"/>
    <w:rsid w:val="00821433"/>
    <w:rsid w:val="0082682E"/>
    <w:rsid w:val="008325B0"/>
    <w:rsid w:val="00835D01"/>
    <w:rsid w:val="00842CD1"/>
    <w:rsid w:val="0085286A"/>
    <w:rsid w:val="00864636"/>
    <w:rsid w:val="008A6DFA"/>
    <w:rsid w:val="008B1D40"/>
    <w:rsid w:val="008C5BA7"/>
    <w:rsid w:val="00922F06"/>
    <w:rsid w:val="00931E41"/>
    <w:rsid w:val="0098468D"/>
    <w:rsid w:val="009A048D"/>
    <w:rsid w:val="009D0131"/>
    <w:rsid w:val="009F4FEA"/>
    <w:rsid w:val="00A43752"/>
    <w:rsid w:val="00A7503E"/>
    <w:rsid w:val="00A90BBE"/>
    <w:rsid w:val="00AB4EF1"/>
    <w:rsid w:val="00AD7A68"/>
    <w:rsid w:val="00B11CFD"/>
    <w:rsid w:val="00B364EA"/>
    <w:rsid w:val="00B41321"/>
    <w:rsid w:val="00B66728"/>
    <w:rsid w:val="00BC43EA"/>
    <w:rsid w:val="00C52DA6"/>
    <w:rsid w:val="00C8361E"/>
    <w:rsid w:val="00C8740E"/>
    <w:rsid w:val="00CB6701"/>
    <w:rsid w:val="00CC6CB4"/>
    <w:rsid w:val="00D6730C"/>
    <w:rsid w:val="00D75B6B"/>
    <w:rsid w:val="00DD2FD9"/>
    <w:rsid w:val="00DE2BFC"/>
    <w:rsid w:val="00DF25D1"/>
    <w:rsid w:val="00E75E81"/>
    <w:rsid w:val="00E827C8"/>
    <w:rsid w:val="00E95F60"/>
    <w:rsid w:val="00E9717F"/>
    <w:rsid w:val="00E97931"/>
    <w:rsid w:val="00F15D50"/>
    <w:rsid w:val="00F20852"/>
    <w:rsid w:val="00F93A0B"/>
    <w:rsid w:val="00F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CC9F"/>
  <w15:chartTrackingRefBased/>
  <w15:docId w15:val="{B311EFA3-FC4A-4F37-BAA6-D77C4557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6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82E"/>
  </w:style>
  <w:style w:type="paragraph" w:styleId="Pieddepage">
    <w:name w:val="footer"/>
    <w:basedOn w:val="Normal"/>
    <w:link w:val="PieddepageCar"/>
    <w:uiPriority w:val="99"/>
    <w:unhideWhenUsed/>
    <w:rsid w:val="00826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82E"/>
  </w:style>
  <w:style w:type="character" w:styleId="Lienhypertexte">
    <w:name w:val="Hyperlink"/>
    <w:basedOn w:val="Policepardfaut"/>
    <w:uiPriority w:val="99"/>
    <w:unhideWhenUsed/>
    <w:rsid w:val="000C5D57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8646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6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F25D1"/>
    <w:pPr>
      <w:spacing w:after="0" w:line="240" w:lineRule="auto"/>
    </w:pPr>
  </w:style>
  <w:style w:type="paragraph" w:customStyle="1" w:styleId="gmail-msonospacing">
    <w:name w:val="gmail-msonospacing"/>
    <w:basedOn w:val="Normal"/>
    <w:rsid w:val="0092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214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14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14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14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143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ierre@bprfranc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comec.fr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dcavallotti@primaklasse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djaafar@bprfr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lefevre</dc:creator>
  <cp:keywords/>
  <dc:description/>
  <cp:lastModifiedBy>HOUOT Floriane</cp:lastModifiedBy>
  <cp:revision>2</cp:revision>
  <dcterms:created xsi:type="dcterms:W3CDTF">2023-06-20T14:48:00Z</dcterms:created>
  <dcterms:modified xsi:type="dcterms:W3CDTF">2023-06-20T14:48:00Z</dcterms:modified>
</cp:coreProperties>
</file>