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9401" w14:textId="77777777" w:rsidR="00633083" w:rsidRPr="00FD6409" w:rsidRDefault="00EB6200" w:rsidP="005B5AEA">
      <w:pPr>
        <w:pStyle w:val="Titre1"/>
        <w:rPr>
          <w:sz w:val="32"/>
          <w:lang w:val="fr-FR"/>
        </w:rPr>
      </w:pPr>
      <w:r w:rsidRPr="00B66B22">
        <w:rPr>
          <w:sz w:val="32"/>
          <w:highlight w:val="yellow"/>
          <w:lang w:val="fr-FR" w:bidi="fr-FR"/>
        </w:rPr>
        <w:t>Alimenter le monde numérique</w:t>
      </w:r>
    </w:p>
    <w:p w14:paraId="0843A004" w14:textId="77777777" w:rsidR="00C739C9" w:rsidRPr="00FD6409" w:rsidRDefault="00064C48" w:rsidP="00DC7D80">
      <w:pPr>
        <w:pStyle w:val="Text"/>
      </w:pPr>
      <w:r w:rsidRPr="00064C48">
        <w:rPr>
          <w:highlight w:val="yellow"/>
          <w:lang w:bidi="fr-FR"/>
        </w:rPr>
        <w:t>Ville, date xx</w:t>
      </w:r>
      <w:r w:rsidR="00EB6200" w:rsidRPr="00EB6200">
        <w:rPr>
          <w:lang w:bidi="fr-FR"/>
        </w:rPr>
        <w:t xml:space="preserve"> 2022</w:t>
      </w:r>
    </w:p>
    <w:p w14:paraId="255E6F07" w14:textId="77777777" w:rsidR="008A4B53" w:rsidRPr="00FD6409" w:rsidRDefault="00EB6200" w:rsidP="00064C48">
      <w:pPr>
        <w:pStyle w:val="Chapeau"/>
        <w:spacing w:line="360" w:lineRule="auto"/>
        <w:jc w:val="both"/>
        <w:rPr>
          <w:sz w:val="20"/>
        </w:rPr>
      </w:pPr>
      <w:r w:rsidRPr="00B66B22">
        <w:rPr>
          <w:sz w:val="20"/>
          <w:lang w:bidi="fr-FR"/>
        </w:rPr>
        <w:t xml:space="preserve">Dévoilant les dernières solutions qui garantissent l’alimentation de notre monde numérique, Socomec présentera ses innovations les plus récentes au </w:t>
      </w:r>
      <w:r w:rsidRPr="00B66B22">
        <w:rPr>
          <w:sz w:val="20"/>
          <w:highlight w:val="yellow"/>
          <w:lang w:bidi="fr-FR"/>
        </w:rPr>
        <w:t xml:space="preserve">Data Centre World 2022, qui se déroulera au centre </w:t>
      </w:r>
      <w:proofErr w:type="spellStart"/>
      <w:r w:rsidRPr="00B66B22">
        <w:rPr>
          <w:sz w:val="20"/>
          <w:highlight w:val="yellow"/>
          <w:lang w:bidi="fr-FR"/>
        </w:rPr>
        <w:t>ExCel</w:t>
      </w:r>
      <w:proofErr w:type="spellEnd"/>
      <w:r w:rsidRPr="00B66B22">
        <w:rPr>
          <w:sz w:val="20"/>
          <w:highlight w:val="yellow"/>
          <w:lang w:bidi="fr-FR"/>
        </w:rPr>
        <w:t xml:space="preserve"> London les 2 et 3 mars 2022.</w:t>
      </w:r>
    </w:p>
    <w:tbl>
      <w:tblPr>
        <w:tblStyle w:val="Grilledutableau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6639"/>
      </w:tblGrid>
      <w:tr w:rsidR="00082817" w:rsidRPr="00FD6409" w14:paraId="30B8E6B9" w14:textId="77777777" w:rsidTr="00082817">
        <w:tc>
          <w:tcPr>
            <w:tcW w:w="3819" w:type="dxa"/>
            <w:vAlign w:val="center"/>
          </w:tcPr>
          <w:p w14:paraId="32D63483" w14:textId="77777777" w:rsidR="00152125" w:rsidRPr="00B66B22" w:rsidRDefault="00B66B22" w:rsidP="00064C48">
            <w:pPr>
              <w:pStyle w:val="Bullets1"/>
              <w:numPr>
                <w:ilvl w:val="0"/>
                <w:numId w:val="0"/>
              </w:numPr>
              <w:jc w:val="both"/>
              <w:rPr>
                <w:sz w:val="22"/>
                <w:lang w:val="en-GB"/>
              </w:rPr>
            </w:pPr>
            <w:r w:rsidRPr="00B66B22">
              <w:rPr>
                <w:noProof/>
                <w:lang w:val="en-US"/>
              </w:rPr>
              <w:drawing>
                <wp:inline distT="0" distB="0" distL="0" distR="0" wp14:anchorId="65805708" wp14:editId="0797ACC5">
                  <wp:extent cx="2103864" cy="2028618"/>
                  <wp:effectExtent l="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576" cy="204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95EAE" w14:textId="77777777" w:rsidR="00061163" w:rsidRPr="00B66B22" w:rsidRDefault="00061163" w:rsidP="00064C48">
            <w:pPr>
              <w:pStyle w:val="LgendePhoto"/>
              <w:jc w:val="both"/>
              <w:rPr>
                <w:sz w:val="16"/>
              </w:rPr>
            </w:pPr>
          </w:p>
        </w:tc>
        <w:tc>
          <w:tcPr>
            <w:tcW w:w="6639" w:type="dxa"/>
            <w:vAlign w:val="center"/>
          </w:tcPr>
          <w:p w14:paraId="22A211EE" w14:textId="77777777" w:rsidR="00EB6200" w:rsidRPr="00FD6409" w:rsidRDefault="00EB6200" w:rsidP="00064C48">
            <w:pPr>
              <w:pStyle w:val="Text"/>
              <w:spacing w:line="276" w:lineRule="auto"/>
              <w:jc w:val="both"/>
              <w:rPr>
                <w:sz w:val="20"/>
                <w:szCs w:val="22"/>
              </w:rPr>
            </w:pPr>
            <w:r w:rsidRPr="00B66B22">
              <w:rPr>
                <w:sz w:val="20"/>
                <w:szCs w:val="22"/>
                <w:lang w:bidi="fr-FR"/>
              </w:rPr>
              <w:t xml:space="preserve">Socomec, spécialiste de l’alimentation intégrée, lance une nouvelle vague d’innovations qui garantissent la disponibilité et la performance énergétiques et les présentera lors du </w:t>
            </w:r>
            <w:r w:rsidRPr="00B66B22">
              <w:rPr>
                <w:sz w:val="20"/>
                <w:szCs w:val="22"/>
                <w:highlight w:val="yellow"/>
                <w:lang w:bidi="fr-FR"/>
              </w:rPr>
              <w:t>Data Centre World à Londres, les 2 et 3 mars 2022.</w:t>
            </w:r>
          </w:p>
          <w:p w14:paraId="3E968D56" w14:textId="77777777" w:rsidR="00152125" w:rsidRPr="00FD6409" w:rsidRDefault="00EB6200" w:rsidP="00064C48">
            <w:pPr>
              <w:pStyle w:val="Text"/>
              <w:spacing w:line="276" w:lineRule="auto"/>
              <w:jc w:val="both"/>
              <w:rPr>
                <w:sz w:val="20"/>
                <w:szCs w:val="22"/>
              </w:rPr>
            </w:pPr>
            <w:r w:rsidRPr="00B66B22">
              <w:rPr>
                <w:sz w:val="20"/>
                <w:szCs w:val="22"/>
                <w:lang w:bidi="fr-FR"/>
              </w:rPr>
              <w:t xml:space="preserve">Les infrastructures critiques d’aujourd’hui doivent répondre aux besoins de déploiement rapide et de mise à niveau des systèmes tout en maintenant une disponibilité optimale.  En outre, en raison de la flambée des coûts de l’énergie et des contraintes liées à l’espace disponible, toutes les installations privilégient le rendement et l’exploitation, ainsi que la réduction des dépenses de fonctionnement.   </w:t>
            </w:r>
          </w:p>
        </w:tc>
      </w:tr>
    </w:tbl>
    <w:p w14:paraId="590378C6" w14:textId="77777777" w:rsidR="00EB6200" w:rsidRPr="00FD6409" w:rsidRDefault="00EB6200" w:rsidP="00064C48">
      <w:pPr>
        <w:tabs>
          <w:tab w:val="left" w:pos="1931"/>
        </w:tabs>
        <w:spacing w:after="0"/>
        <w:jc w:val="both"/>
        <w:rPr>
          <w:rFonts w:ascii="Arial" w:eastAsia="Arial" w:hAnsi="Arial" w:cs="Arial"/>
          <w:b/>
          <w:sz w:val="20"/>
          <w:lang w:val="fr-FR"/>
        </w:rPr>
      </w:pPr>
      <w:proofErr w:type="spellStart"/>
      <w:r w:rsidRPr="00B66B22">
        <w:rPr>
          <w:rFonts w:ascii="Arial" w:eastAsia="Arial" w:hAnsi="Arial" w:cs="Arial"/>
          <w:b/>
          <w:sz w:val="20"/>
          <w:lang w:val="fr-FR" w:bidi="fr-FR"/>
        </w:rPr>
        <w:t>Delphys</w:t>
      </w:r>
      <w:proofErr w:type="spellEnd"/>
      <w:r w:rsidRPr="00B66B22">
        <w:rPr>
          <w:rFonts w:ascii="Arial" w:eastAsia="Arial" w:hAnsi="Arial" w:cs="Arial"/>
          <w:b/>
          <w:sz w:val="20"/>
          <w:lang w:val="fr-FR" w:bidi="fr-FR"/>
        </w:rPr>
        <w:t xml:space="preserve"> XL 1 200 kW : la nouvelle ASI forte puissance de Socomec </w:t>
      </w:r>
    </w:p>
    <w:p w14:paraId="753D3871" w14:textId="77777777" w:rsidR="00EB6200" w:rsidRPr="00FD6409" w:rsidRDefault="00EB6200" w:rsidP="00064C48">
      <w:pPr>
        <w:tabs>
          <w:tab w:val="left" w:pos="1931"/>
        </w:tabs>
        <w:spacing w:before="240" w:after="0"/>
        <w:jc w:val="both"/>
        <w:rPr>
          <w:rFonts w:ascii="Arial" w:eastAsia="Arial" w:hAnsi="Arial" w:cs="Arial"/>
          <w:sz w:val="20"/>
          <w:lang w:val="fr-FR"/>
        </w:rPr>
      </w:pPr>
      <w:r w:rsidRPr="00B66B22">
        <w:rPr>
          <w:rFonts w:ascii="Arial" w:eastAsia="Arial" w:hAnsi="Arial" w:cs="Arial"/>
          <w:sz w:val="20"/>
          <w:lang w:val="fr-FR" w:bidi="fr-FR"/>
        </w:rPr>
        <w:t xml:space="preserve">Pour pouvoir réduire considérablement les coûts opérationnels d’un data centre, il est essentiel d’atteindre des rendements très élevés.  </w:t>
      </w:r>
      <w:proofErr w:type="spellStart"/>
      <w:r w:rsidRPr="00B66B22">
        <w:rPr>
          <w:rFonts w:ascii="Arial" w:eastAsia="Arial" w:hAnsi="Arial" w:cs="Arial"/>
          <w:sz w:val="20"/>
          <w:lang w:val="fr-FR" w:bidi="fr-FR"/>
        </w:rPr>
        <w:t>Delphys</w:t>
      </w:r>
      <w:proofErr w:type="spellEnd"/>
      <w:r w:rsidRPr="00B66B22">
        <w:rPr>
          <w:rFonts w:ascii="Arial" w:eastAsia="Arial" w:hAnsi="Arial" w:cs="Arial"/>
          <w:sz w:val="20"/>
          <w:lang w:val="fr-FR" w:bidi="fr-FR"/>
        </w:rPr>
        <w:t xml:space="preserve"> XL de Socomec combine plusieurs modes de fonctionnement avancés qui optimisent les rendements sans sacrifier la qualité de l’alimentation énergétique. </w:t>
      </w:r>
    </w:p>
    <w:p w14:paraId="48AB3233" w14:textId="77777777" w:rsidR="008A4B53" w:rsidRPr="00FD6409" w:rsidRDefault="008A4B53" w:rsidP="00064C48">
      <w:pPr>
        <w:pStyle w:val="Bullets1"/>
        <w:numPr>
          <w:ilvl w:val="0"/>
          <w:numId w:val="0"/>
        </w:numPr>
        <w:jc w:val="both"/>
        <w:rPr>
          <w:sz w:val="20"/>
          <w:lang w:val="fr-FR"/>
        </w:rPr>
      </w:pPr>
    </w:p>
    <w:p w14:paraId="6AB19EC6" w14:textId="77777777" w:rsidR="00EB6200" w:rsidRPr="00FD6409" w:rsidRDefault="00EB6200" w:rsidP="00064C48">
      <w:pPr>
        <w:jc w:val="both"/>
        <w:rPr>
          <w:rFonts w:ascii="Arial" w:eastAsia="Arial" w:hAnsi="Arial" w:cs="Arial"/>
          <w:b/>
          <w:sz w:val="20"/>
          <w:lang w:val="fr-FR"/>
        </w:rPr>
      </w:pPr>
      <w:r w:rsidRPr="00B66B22">
        <w:rPr>
          <w:rFonts w:ascii="Arial" w:eastAsia="Arial" w:hAnsi="Arial" w:cs="Arial"/>
          <w:b/>
          <w:sz w:val="20"/>
          <w:lang w:val="fr-FR" w:bidi="fr-FR"/>
        </w:rPr>
        <w:t>Résilience optimisée : gain d’espace et élimination des points de défaillance uniques</w:t>
      </w:r>
    </w:p>
    <w:p w14:paraId="3B250060" w14:textId="77777777" w:rsidR="00EB6200" w:rsidRPr="00FD6409" w:rsidRDefault="00EB6200" w:rsidP="00064C48">
      <w:pPr>
        <w:jc w:val="both"/>
        <w:rPr>
          <w:rFonts w:ascii="Arial" w:eastAsia="Arial" w:hAnsi="Arial" w:cs="Arial"/>
          <w:sz w:val="20"/>
          <w:lang w:val="fr-FR"/>
        </w:rPr>
      </w:pPr>
      <w:proofErr w:type="spellStart"/>
      <w:r w:rsidRPr="00B66B22">
        <w:rPr>
          <w:rFonts w:ascii="Arial" w:eastAsia="Arial" w:hAnsi="Arial" w:cs="Arial"/>
          <w:sz w:val="20"/>
          <w:lang w:val="fr-FR" w:bidi="fr-FR"/>
        </w:rPr>
        <w:t>Delphys</w:t>
      </w:r>
      <w:proofErr w:type="spellEnd"/>
      <w:r w:rsidRPr="00B66B22">
        <w:rPr>
          <w:rFonts w:ascii="Arial" w:eastAsia="Arial" w:hAnsi="Arial" w:cs="Arial"/>
          <w:sz w:val="20"/>
          <w:lang w:val="fr-FR" w:bidi="fr-FR"/>
        </w:rPr>
        <w:t xml:space="preserve"> XL est une ASI efficace et très compacte, conçue pour sécuriser les applications les plus critiques par le biais </w:t>
      </w:r>
      <w:proofErr w:type="gramStart"/>
      <w:r w:rsidRPr="00B66B22">
        <w:rPr>
          <w:rFonts w:ascii="Arial" w:eastAsia="Arial" w:hAnsi="Arial" w:cs="Arial"/>
          <w:sz w:val="20"/>
          <w:lang w:val="fr-FR" w:bidi="fr-FR"/>
        </w:rPr>
        <w:t>d’une</w:t>
      </w:r>
      <w:proofErr w:type="gramEnd"/>
      <w:r w:rsidRPr="00B66B22">
        <w:rPr>
          <w:rFonts w:ascii="Arial" w:eastAsia="Arial" w:hAnsi="Arial" w:cs="Arial"/>
          <w:sz w:val="20"/>
          <w:lang w:val="fr-FR" w:bidi="fr-FR"/>
        </w:rPr>
        <w:t xml:space="preserve"> redondance intrinsèque et qui permet, grâce à son design unique, une maintenance fiable et rapide.</w:t>
      </w:r>
    </w:p>
    <w:p w14:paraId="158C32AD" w14:textId="77777777" w:rsidR="00EB6200" w:rsidRPr="00FD6409" w:rsidRDefault="00EB6200" w:rsidP="00064C48">
      <w:pPr>
        <w:spacing w:after="0"/>
        <w:jc w:val="both"/>
        <w:rPr>
          <w:rFonts w:ascii="Arial" w:eastAsia="Arial" w:hAnsi="Arial" w:cs="Arial"/>
          <w:sz w:val="20"/>
          <w:lang w:val="fr-FR"/>
        </w:rPr>
      </w:pPr>
      <w:r w:rsidRPr="00B66B22">
        <w:rPr>
          <w:rFonts w:ascii="Arial" w:eastAsia="Arial" w:hAnsi="Arial" w:cs="Arial"/>
          <w:sz w:val="20"/>
          <w:lang w:val="fr-FR" w:bidi="fr-FR"/>
        </w:rPr>
        <w:t xml:space="preserve">Basée sur la plateforme XL forte puissance de Socomec, une architecture d’alimentation à la fiabilité éprouvée dont elle exploite les atouts et le caractère unique, </w:t>
      </w:r>
      <w:proofErr w:type="spellStart"/>
      <w:r w:rsidRPr="00B66B22">
        <w:rPr>
          <w:rFonts w:ascii="Arial" w:eastAsia="Arial" w:hAnsi="Arial" w:cs="Arial"/>
          <w:sz w:val="20"/>
          <w:lang w:val="fr-FR" w:bidi="fr-FR"/>
        </w:rPr>
        <w:t>Delphys</w:t>
      </w:r>
      <w:proofErr w:type="spellEnd"/>
      <w:r w:rsidRPr="00B66B22">
        <w:rPr>
          <w:rFonts w:ascii="Arial" w:eastAsia="Arial" w:hAnsi="Arial" w:cs="Arial"/>
          <w:sz w:val="20"/>
          <w:lang w:val="fr-FR" w:bidi="fr-FR"/>
        </w:rPr>
        <w:t xml:space="preserve"> XL offre une résilience inégalée en éliminant les points de défaillance uniques des ASI monoblocs traditionnelles.  </w:t>
      </w:r>
    </w:p>
    <w:p w14:paraId="3E80DB7B" w14:textId="77777777" w:rsidR="00EB6200" w:rsidRPr="00FD6409" w:rsidRDefault="00EB6200" w:rsidP="00064C48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0"/>
          <w:lang w:val="fr-FR" w:eastAsia="en-GB"/>
        </w:rPr>
      </w:pPr>
      <w:r w:rsidRPr="00B66B22">
        <w:rPr>
          <w:rFonts w:ascii="Arial" w:eastAsia="Times New Roman" w:hAnsi="Arial" w:cs="Arial"/>
          <w:b/>
          <w:sz w:val="20"/>
          <w:lang w:val="fr-FR" w:bidi="fr-FR"/>
        </w:rPr>
        <w:t>Conception facilitant la maintenance</w:t>
      </w:r>
    </w:p>
    <w:p w14:paraId="7070E635" w14:textId="77777777" w:rsidR="00EB6200" w:rsidRPr="00FD6409" w:rsidRDefault="00EB6200" w:rsidP="00064C48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lang w:val="fr-FR" w:eastAsia="en-GB"/>
        </w:rPr>
      </w:pPr>
      <w:r w:rsidRPr="00B66B22">
        <w:rPr>
          <w:rFonts w:ascii="Arial" w:eastAsia="Times New Roman" w:hAnsi="Arial" w:cs="Arial"/>
          <w:sz w:val="20"/>
          <w:lang w:val="fr-FR" w:bidi="fr-FR"/>
        </w:rPr>
        <w:t xml:space="preserve">En nous appuyant sur notre expertise des solutions modulaires, nous avons conçu </w:t>
      </w:r>
      <w:proofErr w:type="spellStart"/>
      <w:r w:rsidRPr="00B66B22">
        <w:rPr>
          <w:rFonts w:ascii="Arial" w:eastAsia="Times New Roman" w:hAnsi="Arial" w:cs="Arial"/>
          <w:sz w:val="20"/>
          <w:lang w:val="fr-FR" w:bidi="fr-FR"/>
        </w:rPr>
        <w:t>Delphys</w:t>
      </w:r>
      <w:proofErr w:type="spellEnd"/>
      <w:r w:rsidRPr="00B66B22">
        <w:rPr>
          <w:rFonts w:ascii="Arial" w:eastAsia="Times New Roman" w:hAnsi="Arial" w:cs="Arial"/>
          <w:sz w:val="20"/>
          <w:lang w:val="fr-FR" w:bidi="fr-FR"/>
        </w:rPr>
        <w:t xml:space="preserve"> XL de manière à faciliter et à sécuriser sa maintenance. Les délais de réparation sont raccourcis grâce à un concept de service innovant et unique.  </w:t>
      </w:r>
      <w:bookmarkStart w:id="0" w:name="_GoBack"/>
      <w:bookmarkEnd w:id="0"/>
    </w:p>
    <w:p w14:paraId="363C6801" w14:textId="77777777" w:rsidR="00B66B22" w:rsidRPr="00FD6409" w:rsidRDefault="00EB6200" w:rsidP="00EB6200">
      <w:pPr>
        <w:rPr>
          <w:rFonts w:ascii="Arial" w:eastAsia="Arial" w:hAnsi="Arial" w:cs="Arial"/>
          <w:b/>
          <w:i/>
          <w:sz w:val="20"/>
          <w:lang w:val="fr-FR"/>
        </w:rPr>
      </w:pPr>
      <w:r w:rsidRPr="00FD6409">
        <w:rPr>
          <w:rFonts w:ascii="Arial" w:eastAsia="Arial" w:hAnsi="Arial" w:cs="Arial"/>
          <w:sz w:val="20"/>
          <w:lang w:val="fr-FR" w:bidi="fr-FR"/>
        </w:rPr>
        <w:t xml:space="preserve">Si l’énergie compte beaucoup pour vous et si vous désirez découvrir comment Socomec pourrait garantir la performance de votre infrastructure nouvelle ou existante, </w:t>
      </w:r>
      <w:r w:rsidRPr="00B66B22">
        <w:rPr>
          <w:rFonts w:ascii="Arial" w:eastAsia="Arial" w:hAnsi="Arial" w:cs="Arial"/>
          <w:b/>
          <w:i/>
          <w:sz w:val="20"/>
          <w:highlight w:val="yellow"/>
          <w:lang w:val="fr-FR" w:bidi="fr-FR"/>
        </w:rPr>
        <w:t>venez rencontrer notre équipe au Data Centre World les 2 et</w:t>
      </w:r>
      <w:r w:rsidRPr="00B66B22">
        <w:rPr>
          <w:rFonts w:ascii="Arial" w:eastAsia="Arial" w:hAnsi="Arial" w:cs="Arial"/>
          <w:sz w:val="20"/>
          <w:highlight w:val="yellow"/>
          <w:lang w:val="fr-FR" w:bidi="fr-FR"/>
        </w:rPr>
        <w:t xml:space="preserve"> </w:t>
      </w:r>
      <w:r w:rsidRPr="00B66B22">
        <w:rPr>
          <w:rFonts w:ascii="Arial" w:eastAsia="Arial" w:hAnsi="Arial" w:cs="Arial"/>
          <w:b/>
          <w:i/>
          <w:sz w:val="20"/>
          <w:highlight w:val="yellow"/>
          <w:lang w:val="fr-FR" w:bidi="fr-FR"/>
        </w:rPr>
        <w:t>3 mars, au stand D1025.</w:t>
      </w:r>
    </w:p>
    <w:tbl>
      <w:tblPr>
        <w:tblStyle w:val="Grilledutableau"/>
        <w:tblW w:w="107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6"/>
        <w:gridCol w:w="236"/>
        <w:gridCol w:w="14"/>
        <w:gridCol w:w="2777"/>
      </w:tblGrid>
      <w:tr w:rsidR="00EF074F" w:rsidRPr="00002AE2" w14:paraId="5FB7C157" w14:textId="77777777" w:rsidTr="00FD6409">
        <w:tc>
          <w:tcPr>
            <w:tcW w:w="7776" w:type="dxa"/>
            <w:shd w:val="clear" w:color="auto" w:fill="auto"/>
          </w:tcPr>
          <w:p w14:paraId="22A748B4" w14:textId="77777777" w:rsidR="00EF074F" w:rsidRPr="002F45EF" w:rsidRDefault="00EF074F" w:rsidP="00374971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2F45EF">
              <w:rPr>
                <w:rFonts w:ascii="Arial" w:eastAsia="Times New Roman" w:hAnsi="Arial"/>
                <w:b/>
                <w:color w:val="003C8A"/>
                <w:sz w:val="21"/>
                <w:szCs w:val="21"/>
                <w:lang w:val="fr-FR" w:bidi="fr-FR"/>
              </w:rPr>
              <w:t>SOCOMEC : quand l’énergie compte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069CE534" w14:textId="77777777" w:rsidR="00EF074F" w:rsidRPr="002F45EF" w:rsidRDefault="00EF074F" w:rsidP="00647299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781" w:type="dxa"/>
            <w:shd w:val="clear" w:color="auto" w:fill="auto"/>
          </w:tcPr>
          <w:p w14:paraId="4C11BE20" w14:textId="77777777" w:rsidR="00EF074F" w:rsidRPr="002F45EF" w:rsidRDefault="00460C85" w:rsidP="006027D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/>
                <w:b/>
                <w:color w:val="003C8A"/>
                <w:sz w:val="21"/>
                <w:szCs w:val="21"/>
                <w:lang w:val="fr-FR" w:bidi="fr-FR"/>
              </w:rPr>
              <w:t>Contact presse</w:t>
            </w:r>
          </w:p>
        </w:tc>
      </w:tr>
      <w:tr w:rsidR="00EF074F" w:rsidRPr="00071C0A" w14:paraId="0CF41971" w14:textId="77777777" w:rsidTr="00FD6409">
        <w:trPr>
          <w:trHeight w:val="1546"/>
        </w:trPr>
        <w:tc>
          <w:tcPr>
            <w:tcW w:w="7776" w:type="dxa"/>
          </w:tcPr>
          <w:p w14:paraId="27812024" w14:textId="77777777" w:rsidR="00374971" w:rsidRPr="00FD6409" w:rsidRDefault="00747E2D" w:rsidP="00374971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</w:pP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fr-FR" w:bidi="fr-FR"/>
              </w:rPr>
              <w:t>Créé en 1922, SOCOMEC est un groupe industriel indépendant de plus de 3 600 experts répartis à travers le monde dans 28 filiales. Sa vocation : la disponibilité, le contrôle et la sécurité des réseaux électriques basse tension au service de la performance énergétique de ses clients. En 2020, SOCOMEC a réalisé un chiffre d’affaires de 544,4 millions d’euros.</w:t>
            </w:r>
          </w:p>
          <w:p w14:paraId="5CD90821" w14:textId="77777777" w:rsidR="00EF074F" w:rsidRPr="002F45EF" w:rsidRDefault="00374971" w:rsidP="00647299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CBB364" wp14:editId="01ADFB84">
                  <wp:extent cx="4800600" cy="678815"/>
                  <wp:effectExtent l="0" t="0" r="0" b="0"/>
                  <wp:docPr id="5" name="Image 5" descr="picto_785_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o_785_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0D19D39A" w14:textId="77777777" w:rsidR="00EF074F" w:rsidRPr="002F45EF" w:rsidRDefault="00EF074F" w:rsidP="00647299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795" w:type="dxa"/>
            <w:gridSpan w:val="2"/>
          </w:tcPr>
          <w:p w14:paraId="32D766DB" w14:textId="77777777" w:rsidR="00DE2C84" w:rsidRPr="00985237" w:rsidRDefault="00DE2C84" w:rsidP="00647299">
            <w:pPr>
              <w:jc w:val="both"/>
              <w:rPr>
                <w:rStyle w:val="Lienhypertexte"/>
                <w:rFonts w:ascii="Arial" w:eastAsia="Times New Roman" w:hAnsi="Arial"/>
                <w:sz w:val="9"/>
                <w:szCs w:val="15"/>
                <w:lang w:val="en-US" w:eastAsia="it-IT"/>
              </w:rPr>
            </w:pPr>
          </w:p>
          <w:p w14:paraId="0C91A3F9" w14:textId="7E01087D" w:rsidR="00B66B22" w:rsidRPr="00985237" w:rsidRDefault="00B66B22" w:rsidP="00B66B22">
            <w:pPr>
              <w:rPr>
                <w:rFonts w:ascii="Arial" w:eastAsia="Arial" w:hAnsi="Arial"/>
                <w:sz w:val="14"/>
                <w:lang w:val="en-US" w:bidi="fr-FR"/>
              </w:rPr>
            </w:pPr>
            <w:r w:rsidRPr="00985237">
              <w:rPr>
                <w:rFonts w:ascii="Arial" w:eastAsia="Arial" w:hAnsi="Arial"/>
                <w:sz w:val="14"/>
                <w:lang w:val="en-US" w:bidi="fr-FR"/>
              </w:rPr>
              <w:t xml:space="preserve">Site web : </w:t>
            </w:r>
            <w:hyperlink r:id="rId9" w:history="1">
              <w:r w:rsidR="00985237" w:rsidRPr="00985237">
                <w:rPr>
                  <w:rStyle w:val="Lienhypertexte"/>
                  <w:rFonts w:ascii="Arial" w:eastAsia="Arial" w:hAnsi="Arial"/>
                  <w:sz w:val="14"/>
                  <w:lang w:val="en-US" w:bidi="fr-FR"/>
                </w:rPr>
                <w:t>www.socomec.fr/fr</w:t>
              </w:r>
            </w:hyperlink>
          </w:p>
          <w:p w14:paraId="4A4C34B7" w14:textId="1E2429A3" w:rsidR="00B66B22" w:rsidRPr="00985237" w:rsidRDefault="00985237" w:rsidP="00B66B22">
            <w:pPr>
              <w:rPr>
                <w:rFonts w:ascii="Arial" w:eastAsia="Arial" w:hAnsi="Arial"/>
                <w:sz w:val="14"/>
                <w:lang w:val="fr-FR"/>
              </w:rPr>
            </w:pPr>
            <w:r w:rsidRPr="00985237">
              <w:rPr>
                <w:rFonts w:ascii="Arial" w:eastAsia="Arial" w:hAnsi="Arial"/>
                <w:sz w:val="14"/>
                <w:lang w:val="fr-FR" w:bidi="fr-FR"/>
              </w:rPr>
              <w:t xml:space="preserve">Email : </w:t>
            </w:r>
            <w:hyperlink r:id="rId10" w:history="1">
              <w:r w:rsidRPr="00985237">
                <w:rPr>
                  <w:rStyle w:val="Lienhypertexte"/>
                  <w:rFonts w:ascii="Arial" w:eastAsia="Arial" w:hAnsi="Arial"/>
                  <w:sz w:val="14"/>
                  <w:highlight w:val="yellow"/>
                  <w:lang w:val="fr-FR" w:bidi="fr-FR"/>
                </w:rPr>
                <w:t>marketing.scp.fr@socomec.com</w:t>
              </w:r>
            </w:hyperlink>
          </w:p>
          <w:p w14:paraId="55ADF09A" w14:textId="591610CE" w:rsidR="00DE2C84" w:rsidRPr="00460C85" w:rsidRDefault="00B66B22" w:rsidP="009874FE">
            <w:pP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985237">
              <w:rPr>
                <w:rFonts w:ascii="Arial" w:eastAsia="Arial" w:hAnsi="Arial"/>
                <w:sz w:val="14"/>
                <w:lang w:val="fr-FR" w:bidi="fr-FR"/>
              </w:rPr>
              <w:t xml:space="preserve">LinkedIn : </w:t>
            </w:r>
            <w:hyperlink r:id="rId11" w:history="1">
              <w:r w:rsidRPr="00985237">
                <w:rPr>
                  <w:rFonts w:ascii="Arial" w:eastAsia="Arial" w:hAnsi="Arial"/>
                  <w:color w:val="5F5F5F"/>
                  <w:sz w:val="14"/>
                  <w:highlight w:val="yellow"/>
                  <w:u w:val="single"/>
                  <w:lang w:val="fr-FR" w:bidi="fr-FR"/>
                </w:rPr>
                <w:t>Socomec Group</w:t>
              </w:r>
            </w:hyperlink>
            <w:r w:rsidRPr="00985237">
              <w:rPr>
                <w:rFonts w:ascii="Arial" w:eastAsia="Arial" w:hAnsi="Arial"/>
                <w:sz w:val="14"/>
                <w:lang w:val="fr-FR" w:bidi="fr-FR"/>
              </w:rPr>
              <w:t xml:space="preserve"> </w:t>
            </w:r>
          </w:p>
        </w:tc>
      </w:tr>
    </w:tbl>
    <w:p w14:paraId="0B80C132" w14:textId="77777777" w:rsidR="00D86B2E" w:rsidRPr="00E91318" w:rsidRDefault="00D86B2E" w:rsidP="009874FE">
      <w:pPr>
        <w:pStyle w:val="LgendePhoto"/>
        <w:rPr>
          <w:lang w:eastAsia="fr-FR"/>
        </w:rPr>
      </w:pPr>
    </w:p>
    <w:sectPr w:rsidR="00D86B2E" w:rsidRPr="00E91318" w:rsidSect="00676A94">
      <w:headerReference w:type="default" r:id="rId12"/>
      <w:footerReference w:type="default" r:id="rId13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27BCD" w14:textId="77777777" w:rsidR="009C5E9B" w:rsidRDefault="009C5E9B" w:rsidP="00DC7D80">
      <w:pPr>
        <w:spacing w:after="0" w:line="240" w:lineRule="auto"/>
      </w:pPr>
      <w:r>
        <w:separator/>
      </w:r>
    </w:p>
  </w:endnote>
  <w:endnote w:type="continuationSeparator" w:id="0">
    <w:p w14:paraId="172EB031" w14:textId="77777777" w:rsidR="009C5E9B" w:rsidRDefault="009C5E9B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DB413" w14:textId="1BDF7B65" w:rsidR="000F3989" w:rsidRPr="00676A94" w:rsidRDefault="000F3989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eastAsia="Arial" w:hAnsi="Arial" w:cs="Arial"/>
        <w:b/>
        <w:color w:val="003C8A"/>
        <w:lang w:val="fr-FR" w:bidi="fr-FR"/>
      </w:rPr>
      <w:fldChar w:fldCharType="begin"/>
    </w:r>
    <w:r w:rsidRPr="00676A94">
      <w:rPr>
        <w:rFonts w:ascii="Arial" w:eastAsia="Arial" w:hAnsi="Arial" w:cs="Arial"/>
        <w:b/>
        <w:color w:val="003C8A"/>
        <w:lang w:val="fr-FR" w:bidi="fr-FR"/>
      </w:rPr>
      <w:instrText>PAGE   \* MERGEFORMAT</w:instrTex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separate"/>
    </w:r>
    <w:r w:rsidR="00985237">
      <w:rPr>
        <w:rFonts w:ascii="Arial" w:eastAsia="Arial" w:hAnsi="Arial" w:cs="Arial"/>
        <w:b/>
        <w:noProof/>
        <w:color w:val="003C8A"/>
        <w:lang w:val="fr-FR" w:bidi="fr-FR"/>
      </w:rPr>
      <w:t>1</w: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end"/>
    </w:r>
    <w:r w:rsidRPr="00676A94">
      <w:rPr>
        <w:rFonts w:ascii="Arial" w:eastAsia="Arial" w:hAnsi="Arial" w:cs="Arial"/>
        <w:b/>
        <w:color w:val="003C8A"/>
        <w:lang w:val="fr-FR" w:bidi="fr-FR"/>
      </w:rPr>
      <w:t>/</w:t>
    </w:r>
    <w:r w:rsidR="00716E1A">
      <w:rPr>
        <w:rFonts w:ascii="Arial" w:eastAsia="Arial" w:hAnsi="Arial" w:cs="Arial"/>
        <w:b/>
        <w:noProof/>
        <w:color w:val="003C8A"/>
        <w:lang w:val="fr-FR" w:bidi="fr-FR"/>
      </w:rPr>
      <w:fldChar w:fldCharType="begin"/>
    </w:r>
    <w:r w:rsidR="00716E1A">
      <w:rPr>
        <w:rFonts w:ascii="Arial" w:eastAsia="Arial" w:hAnsi="Arial" w:cs="Arial"/>
        <w:b/>
        <w:noProof/>
        <w:color w:val="003C8A"/>
        <w:lang w:val="fr-FR" w:bidi="fr-FR"/>
      </w:rPr>
      <w:instrText xml:space="preserve"> NUMPAGES   \* MERGEFORMAT </w:instrText>
    </w:r>
    <w:r w:rsidR="00716E1A">
      <w:rPr>
        <w:rFonts w:ascii="Arial" w:eastAsia="Arial" w:hAnsi="Arial" w:cs="Arial"/>
        <w:b/>
        <w:noProof/>
        <w:color w:val="003C8A"/>
        <w:lang w:val="fr-FR" w:bidi="fr-FR"/>
      </w:rPr>
      <w:fldChar w:fldCharType="separate"/>
    </w:r>
    <w:r w:rsidR="00985237">
      <w:rPr>
        <w:rFonts w:ascii="Arial" w:eastAsia="Arial" w:hAnsi="Arial" w:cs="Arial"/>
        <w:b/>
        <w:noProof/>
        <w:color w:val="003C8A"/>
        <w:lang w:val="fr-FR" w:bidi="fr-FR"/>
      </w:rPr>
      <w:t>1</w:t>
    </w:r>
    <w:r w:rsidR="00716E1A">
      <w:rPr>
        <w:rFonts w:ascii="Arial" w:eastAsia="Arial" w:hAnsi="Arial" w:cs="Arial"/>
        <w:b/>
        <w:noProof/>
        <w:color w:val="003C8A"/>
        <w:lang w:val="fr-FR"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7017" w14:textId="77777777" w:rsidR="009C5E9B" w:rsidRDefault="009C5E9B" w:rsidP="00DC7D80">
      <w:pPr>
        <w:spacing w:after="0" w:line="240" w:lineRule="auto"/>
      </w:pPr>
      <w:r>
        <w:separator/>
      </w:r>
    </w:p>
  </w:footnote>
  <w:footnote w:type="continuationSeparator" w:id="0">
    <w:p w14:paraId="3295C3FC" w14:textId="77777777" w:rsidR="009C5E9B" w:rsidRDefault="009C5E9B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0F3989" w:rsidRPr="003E374B" w14:paraId="321CB150" w14:textId="77777777" w:rsidTr="00B92CB3">
      <w:tc>
        <w:tcPr>
          <w:tcW w:w="5172" w:type="dxa"/>
          <w:shd w:val="clear" w:color="auto" w:fill="auto"/>
          <w:vAlign w:val="center"/>
        </w:tcPr>
        <w:p w14:paraId="3981D599" w14:textId="77777777" w:rsidR="000F3989" w:rsidRPr="008803CE" w:rsidRDefault="000F3989" w:rsidP="00B92CB3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/>
            </w:rPr>
            <w:drawing>
              <wp:inline distT="0" distB="0" distL="0" distR="0" wp14:anchorId="7AA0F77C" wp14:editId="0C434683">
                <wp:extent cx="2266950" cy="381000"/>
                <wp:effectExtent l="0" t="0" r="0" b="0"/>
                <wp:docPr id="4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44EC238D" w14:textId="77777777" w:rsidR="000F3989" w:rsidRPr="00774243" w:rsidRDefault="00374971" w:rsidP="00774243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eastAsia="Arial" w:hAnsi="Arial" w:cs="Arial"/>
              <w:b/>
              <w:color w:val="003C8A"/>
              <w:sz w:val="28"/>
              <w:szCs w:val="28"/>
              <w:lang w:val="fr-FR" w:bidi="fr-FR"/>
            </w:rPr>
            <w:t>Communiqué de presse</w:t>
          </w:r>
        </w:p>
      </w:tc>
    </w:tr>
  </w:tbl>
  <w:p w14:paraId="11CB22C8" w14:textId="77777777" w:rsidR="000F3989" w:rsidRDefault="000F3989">
    <w:pPr>
      <w:pStyle w:val="En-tte"/>
    </w:pPr>
  </w:p>
  <w:p w14:paraId="39020888" w14:textId="77777777" w:rsidR="000F3989" w:rsidRDefault="000F39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8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9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attachedTemplate r:id="rId1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00"/>
    <w:rsid w:val="00002AE2"/>
    <w:rsid w:val="0000477F"/>
    <w:rsid w:val="000136C0"/>
    <w:rsid w:val="00022999"/>
    <w:rsid w:val="000238AE"/>
    <w:rsid w:val="00050D6B"/>
    <w:rsid w:val="00051889"/>
    <w:rsid w:val="00060FD3"/>
    <w:rsid w:val="00061163"/>
    <w:rsid w:val="000617B1"/>
    <w:rsid w:val="00064C48"/>
    <w:rsid w:val="000671BA"/>
    <w:rsid w:val="00067597"/>
    <w:rsid w:val="00071C0A"/>
    <w:rsid w:val="00072483"/>
    <w:rsid w:val="00075D85"/>
    <w:rsid w:val="00082817"/>
    <w:rsid w:val="00086027"/>
    <w:rsid w:val="000B7608"/>
    <w:rsid w:val="000C604A"/>
    <w:rsid w:val="000D089F"/>
    <w:rsid w:val="000D21A3"/>
    <w:rsid w:val="000F3989"/>
    <w:rsid w:val="00101DC8"/>
    <w:rsid w:val="00106249"/>
    <w:rsid w:val="001066B8"/>
    <w:rsid w:val="00112E53"/>
    <w:rsid w:val="0013008D"/>
    <w:rsid w:val="00130991"/>
    <w:rsid w:val="00152125"/>
    <w:rsid w:val="001631FA"/>
    <w:rsid w:val="00167982"/>
    <w:rsid w:val="00167CB7"/>
    <w:rsid w:val="00170E22"/>
    <w:rsid w:val="001A0C0A"/>
    <w:rsid w:val="001C0AD6"/>
    <w:rsid w:val="001C2DA2"/>
    <w:rsid w:val="001E1D55"/>
    <w:rsid w:val="001E6A2B"/>
    <w:rsid w:val="001F301E"/>
    <w:rsid w:val="00202DE4"/>
    <w:rsid w:val="00220EA7"/>
    <w:rsid w:val="0022520C"/>
    <w:rsid w:val="00275154"/>
    <w:rsid w:val="002D7909"/>
    <w:rsid w:val="002E394D"/>
    <w:rsid w:val="002F0EB8"/>
    <w:rsid w:val="002F45EF"/>
    <w:rsid w:val="00314D75"/>
    <w:rsid w:val="00332900"/>
    <w:rsid w:val="00335FD3"/>
    <w:rsid w:val="00336266"/>
    <w:rsid w:val="00357298"/>
    <w:rsid w:val="00374971"/>
    <w:rsid w:val="00377ACB"/>
    <w:rsid w:val="00384571"/>
    <w:rsid w:val="003A4EF3"/>
    <w:rsid w:val="003B4260"/>
    <w:rsid w:val="003B5FA9"/>
    <w:rsid w:val="003B7492"/>
    <w:rsid w:val="003B75E6"/>
    <w:rsid w:val="003B7DDE"/>
    <w:rsid w:val="003E332F"/>
    <w:rsid w:val="003F71C8"/>
    <w:rsid w:val="0045433B"/>
    <w:rsid w:val="00460C85"/>
    <w:rsid w:val="004748FD"/>
    <w:rsid w:val="00475BB2"/>
    <w:rsid w:val="00482C27"/>
    <w:rsid w:val="00487E6A"/>
    <w:rsid w:val="004D345D"/>
    <w:rsid w:val="004E08E9"/>
    <w:rsid w:val="00503AAE"/>
    <w:rsid w:val="00537F21"/>
    <w:rsid w:val="0054030C"/>
    <w:rsid w:val="005420B2"/>
    <w:rsid w:val="00551387"/>
    <w:rsid w:val="00564B31"/>
    <w:rsid w:val="0056644D"/>
    <w:rsid w:val="00583ED5"/>
    <w:rsid w:val="005869AF"/>
    <w:rsid w:val="0059265E"/>
    <w:rsid w:val="00595F6A"/>
    <w:rsid w:val="005A6FF3"/>
    <w:rsid w:val="005B2058"/>
    <w:rsid w:val="005B5AEA"/>
    <w:rsid w:val="005C0F91"/>
    <w:rsid w:val="005C7D8F"/>
    <w:rsid w:val="005D0BD2"/>
    <w:rsid w:val="005D2750"/>
    <w:rsid w:val="005D42EC"/>
    <w:rsid w:val="005E21E1"/>
    <w:rsid w:val="005F6785"/>
    <w:rsid w:val="006027DE"/>
    <w:rsid w:val="0060779A"/>
    <w:rsid w:val="00615111"/>
    <w:rsid w:val="0062511A"/>
    <w:rsid w:val="006322E2"/>
    <w:rsid w:val="00633083"/>
    <w:rsid w:val="00663537"/>
    <w:rsid w:val="0066434B"/>
    <w:rsid w:val="00673B76"/>
    <w:rsid w:val="00676A94"/>
    <w:rsid w:val="00676C35"/>
    <w:rsid w:val="006A41DF"/>
    <w:rsid w:val="006A5C37"/>
    <w:rsid w:val="006B440B"/>
    <w:rsid w:val="007068D8"/>
    <w:rsid w:val="00716E1A"/>
    <w:rsid w:val="00742A2C"/>
    <w:rsid w:val="007462C9"/>
    <w:rsid w:val="00747E2D"/>
    <w:rsid w:val="007500A0"/>
    <w:rsid w:val="00763CFC"/>
    <w:rsid w:val="00766E45"/>
    <w:rsid w:val="00774243"/>
    <w:rsid w:val="007745FA"/>
    <w:rsid w:val="00780DDC"/>
    <w:rsid w:val="00782084"/>
    <w:rsid w:val="00784D58"/>
    <w:rsid w:val="00786E70"/>
    <w:rsid w:val="007C267A"/>
    <w:rsid w:val="00820AA3"/>
    <w:rsid w:val="00821D57"/>
    <w:rsid w:val="00825D0C"/>
    <w:rsid w:val="00833506"/>
    <w:rsid w:val="0084296A"/>
    <w:rsid w:val="008604FF"/>
    <w:rsid w:val="00874E8A"/>
    <w:rsid w:val="008831B1"/>
    <w:rsid w:val="00890041"/>
    <w:rsid w:val="008A4B53"/>
    <w:rsid w:val="008D17F3"/>
    <w:rsid w:val="008F0204"/>
    <w:rsid w:val="008F67DF"/>
    <w:rsid w:val="00906C70"/>
    <w:rsid w:val="00925BBC"/>
    <w:rsid w:val="0092622A"/>
    <w:rsid w:val="0093571E"/>
    <w:rsid w:val="009400B2"/>
    <w:rsid w:val="00957168"/>
    <w:rsid w:val="00985237"/>
    <w:rsid w:val="009874FE"/>
    <w:rsid w:val="009A5882"/>
    <w:rsid w:val="009A5B72"/>
    <w:rsid w:val="009B7FE8"/>
    <w:rsid w:val="009C5E9B"/>
    <w:rsid w:val="009D13D6"/>
    <w:rsid w:val="009E6174"/>
    <w:rsid w:val="009F6E9C"/>
    <w:rsid w:val="00A11C6A"/>
    <w:rsid w:val="00A2492F"/>
    <w:rsid w:val="00A31F10"/>
    <w:rsid w:val="00A42EE9"/>
    <w:rsid w:val="00A55A0D"/>
    <w:rsid w:val="00A86EB6"/>
    <w:rsid w:val="00A914F9"/>
    <w:rsid w:val="00A96B5A"/>
    <w:rsid w:val="00A96B7C"/>
    <w:rsid w:val="00AD00B3"/>
    <w:rsid w:val="00AD5F2E"/>
    <w:rsid w:val="00AD7F85"/>
    <w:rsid w:val="00AE683C"/>
    <w:rsid w:val="00B02200"/>
    <w:rsid w:val="00B1364A"/>
    <w:rsid w:val="00B16553"/>
    <w:rsid w:val="00B1667B"/>
    <w:rsid w:val="00B168A7"/>
    <w:rsid w:val="00B33B22"/>
    <w:rsid w:val="00B53DAB"/>
    <w:rsid w:val="00B64114"/>
    <w:rsid w:val="00B66B22"/>
    <w:rsid w:val="00B775E5"/>
    <w:rsid w:val="00B92CB3"/>
    <w:rsid w:val="00B93C8C"/>
    <w:rsid w:val="00BA3EF8"/>
    <w:rsid w:val="00BB256B"/>
    <w:rsid w:val="00BB36A8"/>
    <w:rsid w:val="00BC4BE2"/>
    <w:rsid w:val="00BE15C5"/>
    <w:rsid w:val="00C135A5"/>
    <w:rsid w:val="00C167B6"/>
    <w:rsid w:val="00C739C9"/>
    <w:rsid w:val="00C819F1"/>
    <w:rsid w:val="00CB0A87"/>
    <w:rsid w:val="00CB62E1"/>
    <w:rsid w:val="00CD4491"/>
    <w:rsid w:val="00CE0F6B"/>
    <w:rsid w:val="00CF089A"/>
    <w:rsid w:val="00CF4ED6"/>
    <w:rsid w:val="00CF635E"/>
    <w:rsid w:val="00D06616"/>
    <w:rsid w:val="00D326CE"/>
    <w:rsid w:val="00D378C5"/>
    <w:rsid w:val="00D41656"/>
    <w:rsid w:val="00D4200C"/>
    <w:rsid w:val="00D539B0"/>
    <w:rsid w:val="00D73F42"/>
    <w:rsid w:val="00D86B2E"/>
    <w:rsid w:val="00DB0CB1"/>
    <w:rsid w:val="00DC6B14"/>
    <w:rsid w:val="00DC7D80"/>
    <w:rsid w:val="00DE2C84"/>
    <w:rsid w:val="00E03F36"/>
    <w:rsid w:val="00E10C25"/>
    <w:rsid w:val="00E11437"/>
    <w:rsid w:val="00E31CCD"/>
    <w:rsid w:val="00E343EE"/>
    <w:rsid w:val="00E4673A"/>
    <w:rsid w:val="00E523EF"/>
    <w:rsid w:val="00E612B5"/>
    <w:rsid w:val="00E745BC"/>
    <w:rsid w:val="00E85DBB"/>
    <w:rsid w:val="00E91318"/>
    <w:rsid w:val="00E977A9"/>
    <w:rsid w:val="00EA27EE"/>
    <w:rsid w:val="00EB6200"/>
    <w:rsid w:val="00EB7F0F"/>
    <w:rsid w:val="00EE0C37"/>
    <w:rsid w:val="00EE234D"/>
    <w:rsid w:val="00EF074F"/>
    <w:rsid w:val="00F13A5A"/>
    <w:rsid w:val="00F22F14"/>
    <w:rsid w:val="00F24451"/>
    <w:rsid w:val="00F24B60"/>
    <w:rsid w:val="00F618A2"/>
    <w:rsid w:val="00F63A9A"/>
    <w:rsid w:val="00F67C55"/>
    <w:rsid w:val="00FA7DAE"/>
    <w:rsid w:val="00FB2C7E"/>
    <w:rsid w:val="00FB4A7B"/>
    <w:rsid w:val="00FC0281"/>
    <w:rsid w:val="00FD3C2E"/>
    <w:rsid w:val="00FD6409"/>
    <w:rsid w:val="00FE3A81"/>
    <w:rsid w:val="00FE427A"/>
    <w:rsid w:val="00FE5D35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EE935"/>
  <w15:docId w15:val="{1A695138-969B-4603-8981-686D7F5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rsid w:val="00DC7D8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CitationCar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7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7AC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77AC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E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7E6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rsid w:val="00B168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socome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keting.scp.fr@socome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omec.fr/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\OneDrive%20-%20Socomec\Documents\PRESS\template_press_release_EN_03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template_press_release_EN_032021.dotx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CONDIE Sarah</dc:creator>
  <cp:lastModifiedBy>HOUOT Floriane</cp:lastModifiedBy>
  <cp:revision>2</cp:revision>
  <cp:lastPrinted>2019-01-07T16:34:00Z</cp:lastPrinted>
  <dcterms:created xsi:type="dcterms:W3CDTF">2023-01-26T12:46:00Z</dcterms:created>
  <dcterms:modified xsi:type="dcterms:W3CDTF">2023-01-26T12:46:00Z</dcterms:modified>
</cp:coreProperties>
</file>