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F8" w:rsidRPr="003A01F8" w:rsidRDefault="0004340F" w:rsidP="003A01F8">
      <w:pPr>
        <w:pStyle w:val="Text"/>
        <w:rPr>
          <w:b/>
          <w:color w:val="003C8A"/>
          <w:sz w:val="36"/>
          <w:szCs w:val="40"/>
        </w:rPr>
      </w:pPr>
      <w:r>
        <w:rPr>
          <w:b/>
          <w:color w:val="003C8A"/>
          <w:sz w:val="36"/>
          <w:szCs w:val="40"/>
        </w:rPr>
        <w:t>Elite UPS :</w:t>
      </w:r>
      <w:r w:rsidR="00A25D74">
        <w:rPr>
          <w:b/>
          <w:color w:val="003C8A"/>
          <w:sz w:val="36"/>
          <w:szCs w:val="40"/>
        </w:rPr>
        <w:t> </w:t>
      </w:r>
      <w:r>
        <w:rPr>
          <w:b/>
          <w:color w:val="003C8A"/>
          <w:sz w:val="36"/>
          <w:szCs w:val="40"/>
        </w:rPr>
        <w:t>UN GAGE D</w:t>
      </w:r>
      <w:r w:rsidR="00D318AC">
        <w:rPr>
          <w:b/>
          <w:color w:val="003C8A"/>
          <w:sz w:val="36"/>
          <w:szCs w:val="40"/>
        </w:rPr>
        <w:t>’EFFICACIT</w:t>
      </w:r>
      <w:r w:rsidR="00D318AC" w:rsidRPr="00D318AC">
        <w:rPr>
          <w:b/>
          <w:color w:val="003C8A"/>
          <w:sz w:val="36"/>
          <w:szCs w:val="40"/>
        </w:rPr>
        <w:t>É</w:t>
      </w:r>
    </w:p>
    <w:p w:rsidR="00633083" w:rsidRDefault="0004340F" w:rsidP="003A01F8">
      <w:pPr>
        <w:pStyle w:val="Text"/>
        <w:rPr>
          <w:b/>
          <w:color w:val="003C8A"/>
          <w:sz w:val="36"/>
          <w:szCs w:val="40"/>
        </w:rPr>
      </w:pPr>
      <w:r>
        <w:rPr>
          <w:b/>
          <w:color w:val="003C8A"/>
          <w:sz w:val="36"/>
          <w:szCs w:val="40"/>
        </w:rPr>
        <w:t>Intelligent, sûr et durable :</w:t>
      </w:r>
      <w:r w:rsidR="00A25D74">
        <w:rPr>
          <w:b/>
          <w:color w:val="003C8A"/>
          <w:sz w:val="36"/>
          <w:szCs w:val="40"/>
        </w:rPr>
        <w:t> </w:t>
      </w:r>
      <w:r>
        <w:rPr>
          <w:b/>
          <w:color w:val="003C8A"/>
          <w:sz w:val="36"/>
          <w:szCs w:val="40"/>
        </w:rPr>
        <w:t>Socomec signe le code de conduite du</w:t>
      </w:r>
      <w:r w:rsidR="00B4524B">
        <w:rPr>
          <w:b/>
          <w:color w:val="003C8A"/>
          <w:sz w:val="36"/>
          <w:szCs w:val="40"/>
        </w:rPr>
        <w:t xml:space="preserve"> JRC</w:t>
      </w:r>
      <w:r>
        <w:rPr>
          <w:b/>
          <w:color w:val="003C8A"/>
          <w:sz w:val="36"/>
          <w:szCs w:val="40"/>
        </w:rPr>
        <w:t xml:space="preserve"> </w:t>
      </w:r>
      <w:r w:rsidR="00D318AC">
        <w:rPr>
          <w:b/>
          <w:color w:val="003C8A"/>
          <w:sz w:val="36"/>
          <w:szCs w:val="40"/>
        </w:rPr>
        <w:t>qui lance le label</w:t>
      </w:r>
      <w:r>
        <w:rPr>
          <w:b/>
          <w:color w:val="003C8A"/>
          <w:sz w:val="36"/>
          <w:szCs w:val="40"/>
        </w:rPr>
        <w:t xml:space="preserve"> </w:t>
      </w:r>
      <w:r w:rsidR="00D318AC">
        <w:rPr>
          <w:b/>
          <w:color w:val="003C8A"/>
          <w:sz w:val="36"/>
          <w:szCs w:val="40"/>
        </w:rPr>
        <w:t>« </w:t>
      </w:r>
      <w:r>
        <w:rPr>
          <w:b/>
          <w:color w:val="003C8A"/>
          <w:sz w:val="36"/>
          <w:szCs w:val="40"/>
        </w:rPr>
        <w:t>Elite UPS</w:t>
      </w:r>
      <w:r w:rsidR="00D318AC">
        <w:rPr>
          <w:b/>
          <w:color w:val="003C8A"/>
          <w:sz w:val="36"/>
          <w:szCs w:val="40"/>
        </w:rPr>
        <w:t> »</w:t>
      </w:r>
      <w:r>
        <w:rPr>
          <w:b/>
          <w:color w:val="003C8A"/>
          <w:sz w:val="36"/>
          <w:szCs w:val="40"/>
        </w:rPr>
        <w:t>, tourné vers l’avenir.</w:t>
      </w:r>
    </w:p>
    <w:p w:rsidR="003A01F8" w:rsidRPr="00D318AC" w:rsidRDefault="003A01F8" w:rsidP="003A01F8">
      <w:pPr>
        <w:pStyle w:val="Text"/>
      </w:pPr>
    </w:p>
    <w:p w:rsidR="00DC7D80" w:rsidRDefault="00DC7D80" w:rsidP="00DC7D80">
      <w:pPr>
        <w:pStyle w:val="Text"/>
      </w:pPr>
      <w:r>
        <w:t xml:space="preserve">Benfeld, </w:t>
      </w:r>
      <w:r w:rsidR="001A5D90">
        <w:t>octobre</w:t>
      </w:r>
      <w:r>
        <w:t> 2022</w:t>
      </w:r>
    </w:p>
    <w:p w:rsidR="00DA0F39" w:rsidRPr="00D318AC" w:rsidRDefault="00DA0F39" w:rsidP="00DC7D80">
      <w:pPr>
        <w:pStyle w:val="Text"/>
      </w:pPr>
    </w:p>
    <w:p w:rsidR="00954103" w:rsidRPr="00D318AC" w:rsidRDefault="00954103" w:rsidP="00DC7D80">
      <w:pPr>
        <w:pStyle w:val="Text"/>
      </w:pPr>
    </w:p>
    <w:p w:rsidR="00377ACB" w:rsidRPr="00D4200C" w:rsidRDefault="003A01F8" w:rsidP="00FB4A7B">
      <w:pPr>
        <w:pStyle w:val="Sous-titre1"/>
      </w:pPr>
      <w:r>
        <w:rPr>
          <w:i/>
        </w:rPr>
        <w:t xml:space="preserve">Socomec, expert mondial en gestion de l'alimentation, signe le code de conduite du </w:t>
      </w:r>
      <w:r w:rsidR="00B4524B">
        <w:rPr>
          <w:i/>
        </w:rPr>
        <w:t>JRC</w:t>
      </w:r>
      <w:r>
        <w:rPr>
          <w:i/>
        </w:rPr>
        <w:t xml:space="preserve"> afin de définir le niveau </w:t>
      </w:r>
      <w:r w:rsidR="00576CBD">
        <w:rPr>
          <w:i/>
        </w:rPr>
        <w:t>d’efficacité</w:t>
      </w:r>
      <w:r>
        <w:rPr>
          <w:i/>
        </w:rPr>
        <w:t xml:space="preserve"> Elite UPS.</w:t>
      </w:r>
    </w:p>
    <w:p w:rsidR="00152125" w:rsidRPr="00D318AC" w:rsidRDefault="00152125" w:rsidP="00E10C25">
      <w:pPr>
        <w:pStyle w:val="Bullets1"/>
        <w:numPr>
          <w:ilvl w:val="0"/>
          <w:numId w:val="0"/>
        </w:numPr>
        <w:ind w:left="9"/>
      </w:pPr>
    </w:p>
    <w:p w:rsidR="003A01F8" w:rsidRDefault="008132A9" w:rsidP="00957015">
      <w:pPr>
        <w:pStyle w:val="Bullets1"/>
        <w:numPr>
          <w:ilvl w:val="0"/>
          <w:numId w:val="0"/>
        </w:numPr>
        <w:spacing w:line="360" w:lineRule="auto"/>
        <w:ind w:left="9"/>
        <w:jc w:val="both"/>
      </w:pPr>
      <w:r>
        <w:t xml:space="preserve">En tant que concepteur et fabricant d’alimentations sans interruption (ASI) et de solutions énergétiques intégrées, </w:t>
      </w:r>
      <w:r w:rsidR="00D318AC">
        <w:rPr>
          <w:b/>
          <w:color w:val="auto"/>
        </w:rPr>
        <w:t>l’efficacité énergétique</w:t>
      </w:r>
      <w:r w:rsidR="00A25D74">
        <w:rPr>
          <w:color w:val="auto"/>
        </w:rPr>
        <w:t xml:space="preserve"> </w:t>
      </w:r>
      <w:r w:rsidR="00A25D74">
        <w:t>a</w:t>
      </w:r>
      <w:r>
        <w:t xml:space="preserve"> toujours été une priorité pour Socomec. </w:t>
      </w:r>
    </w:p>
    <w:p w:rsidR="008132A9" w:rsidRPr="00D318AC" w:rsidRDefault="008132A9" w:rsidP="00957015">
      <w:pPr>
        <w:pStyle w:val="Bullets1"/>
        <w:numPr>
          <w:ilvl w:val="0"/>
          <w:numId w:val="0"/>
        </w:numPr>
        <w:spacing w:line="360" w:lineRule="auto"/>
        <w:ind w:left="9"/>
        <w:jc w:val="both"/>
      </w:pPr>
    </w:p>
    <w:p w:rsidR="008132A9" w:rsidRDefault="008132A9" w:rsidP="00957015">
      <w:pPr>
        <w:pStyle w:val="Bullets1"/>
        <w:numPr>
          <w:ilvl w:val="0"/>
          <w:numId w:val="0"/>
        </w:numPr>
        <w:spacing w:line="360" w:lineRule="auto"/>
        <w:ind w:left="9"/>
        <w:jc w:val="both"/>
        <w:rPr>
          <w:noProof/>
        </w:rPr>
      </w:pPr>
      <w:r>
        <w:t xml:space="preserve">Socomec, </w:t>
      </w:r>
      <w:r>
        <w:rPr>
          <w:color w:val="auto"/>
        </w:rPr>
        <w:t>membre fabricant d’ASI du CEMEP*,</w:t>
      </w:r>
      <w:r>
        <w:t xml:space="preserve"> a signé un code de conduite proposé par le </w:t>
      </w:r>
      <w:r w:rsidR="00B4524B">
        <w:t xml:space="preserve">Joint </w:t>
      </w:r>
      <w:proofErr w:type="spellStart"/>
      <w:r w:rsidR="00B4524B">
        <w:t>Research</w:t>
      </w:r>
      <w:proofErr w:type="spellEnd"/>
      <w:r w:rsidR="00B4524B">
        <w:t xml:space="preserve"> Center </w:t>
      </w:r>
      <w:r w:rsidR="00DD157E">
        <w:t>(</w:t>
      </w:r>
      <w:r w:rsidR="00B4524B">
        <w:t xml:space="preserve">JRC </w:t>
      </w:r>
      <w:r w:rsidR="00DD157E">
        <w:t xml:space="preserve">**) </w:t>
      </w:r>
      <w:r>
        <w:t>de la Commission européenne dans le but d’aller plus loin dans la protection des applications et des processus critiques, en assurant une alimentation continue de haute qualité 24 heures sur 24 et 7 jours sur 7</w:t>
      </w:r>
      <w:r w:rsidR="00A25D74">
        <w:t>.</w:t>
      </w:r>
      <w:r>
        <w:t xml:space="preserve"> Le </w:t>
      </w:r>
      <w:r w:rsidR="00B4524B">
        <w:t>JRC</w:t>
      </w:r>
      <w:r>
        <w:t xml:space="preserve"> s’engage à réduire les pertes d’énergie ainsi que les émissions de gaz causées par les équipements ASI, et donc à maximiser </w:t>
      </w:r>
      <w:r w:rsidR="00D318AC">
        <w:rPr>
          <w:color w:val="auto"/>
        </w:rPr>
        <w:t xml:space="preserve">l’efficacité </w:t>
      </w:r>
      <w:r>
        <w:t xml:space="preserve">des ASI. </w:t>
      </w:r>
    </w:p>
    <w:p w:rsidR="00954103" w:rsidRPr="00D318AC" w:rsidRDefault="00954103" w:rsidP="00957015">
      <w:pPr>
        <w:pStyle w:val="Bullets1"/>
        <w:numPr>
          <w:ilvl w:val="0"/>
          <w:numId w:val="0"/>
        </w:numPr>
        <w:spacing w:line="360" w:lineRule="auto"/>
        <w:ind w:left="9"/>
        <w:jc w:val="both"/>
      </w:pPr>
    </w:p>
    <w:p w:rsidR="008132A9" w:rsidRDefault="00954103" w:rsidP="00957015">
      <w:pPr>
        <w:pStyle w:val="Bullets1"/>
        <w:numPr>
          <w:ilvl w:val="0"/>
          <w:numId w:val="0"/>
        </w:numPr>
        <w:spacing w:line="360" w:lineRule="auto"/>
        <w:ind w:left="9"/>
        <w:jc w:val="both"/>
      </w:pPr>
      <w:r>
        <w:rPr>
          <w:noProof/>
          <w:lang w:val="it-IT" w:eastAsia="it-IT"/>
        </w:rPr>
        <w:drawing>
          <wp:anchor distT="0" distB="0" distL="114300" distR="114300" simplePos="0" relativeHeight="251658240" behindDoc="1" locked="0" layoutInCell="1" allowOverlap="1">
            <wp:simplePos x="0" y="0"/>
            <wp:positionH relativeFrom="column">
              <wp:posOffset>8255</wp:posOffset>
            </wp:positionH>
            <wp:positionV relativeFrom="paragraph">
              <wp:posOffset>-4445</wp:posOffset>
            </wp:positionV>
            <wp:extent cx="2118360" cy="2021840"/>
            <wp:effectExtent l="0" t="0" r="0" b="0"/>
            <wp:wrapTight wrapText="bothSides">
              <wp:wrapPolygon edited="0">
                <wp:start x="0" y="0"/>
                <wp:lineTo x="0" y="21369"/>
                <wp:lineTo x="21367" y="21369"/>
                <wp:lineTo x="21367" y="0"/>
                <wp:lineTo x="0" y="0"/>
              </wp:wrapPolygon>
            </wp:wrapTight>
            <wp:docPr id="1" name="Image 1" descr="DCmag - EU Code of Conduct – Lancement de la marque Elite UPS : plus  d'efficacité énergétique pour les applications cri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mag - EU Code of Conduct – Lancement de la marque Elite UPS : plus  d'efficacité énergétique pour les applications critiques"/>
                    <pic:cNvPicPr>
                      <a:picLocks noChangeAspect="1" noChangeArrowheads="1"/>
                    </pic:cNvPicPr>
                  </pic:nvPicPr>
                  <pic:blipFill rotWithShape="1">
                    <a:blip r:embed="rId7">
                      <a:extLst>
                        <a:ext uri="{28A0092B-C50C-407E-A947-70E740481C1C}">
                          <a14:useLocalDpi xmlns:a14="http://schemas.microsoft.com/office/drawing/2010/main" val="0"/>
                        </a:ext>
                      </a:extLst>
                    </a:blip>
                    <a:srcRect l="20546" t="1631" r="21108"/>
                    <a:stretch/>
                  </pic:blipFill>
                  <pic:spPr bwMode="auto">
                    <a:xfrm>
                      <a:off x="0" y="0"/>
                      <a:ext cx="2118360" cy="202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32A9" w:rsidRDefault="008132A9" w:rsidP="00957015">
      <w:pPr>
        <w:pStyle w:val="Bullets1"/>
        <w:numPr>
          <w:ilvl w:val="0"/>
          <w:numId w:val="0"/>
        </w:numPr>
        <w:spacing w:line="360" w:lineRule="auto"/>
        <w:ind w:left="9"/>
        <w:jc w:val="both"/>
      </w:pPr>
      <w:r>
        <w:t>Les ASI constituent un filet de sécurité vital qui protège chaque équipement électrique contre les pannes de réseau, en fournissant une alimentation immédiate et continue jusqu’à ce qu’une source alternative ou le réseau lui-</w:t>
      </w:r>
      <w:r w:rsidR="00896BAB">
        <w:t xml:space="preserve">même puisse prendre le relais. </w:t>
      </w:r>
      <w:r>
        <w:t xml:space="preserve">Ils sont véritablement essentiels dans tous les aspects de notre vie, des télécommunications à l’informatique en passant par les soins de santé, les aéroports et les data </w:t>
      </w:r>
      <w:proofErr w:type="spellStart"/>
      <w:r>
        <w:t>centers</w:t>
      </w:r>
      <w:proofErr w:type="spellEnd"/>
      <w:r>
        <w:t>. Sans les ASI, le monde tel que nous le connaissons aujourd’hui ne fonctionnerait tout simplement pas.</w:t>
      </w:r>
    </w:p>
    <w:p w:rsidR="00957015" w:rsidRPr="00D318AC" w:rsidRDefault="00957015" w:rsidP="00957015">
      <w:pPr>
        <w:pStyle w:val="Bullets1"/>
        <w:numPr>
          <w:ilvl w:val="0"/>
          <w:numId w:val="0"/>
        </w:numPr>
        <w:spacing w:line="360" w:lineRule="auto"/>
        <w:ind w:left="9"/>
        <w:jc w:val="both"/>
      </w:pPr>
    </w:p>
    <w:p w:rsidR="00954103" w:rsidRPr="00D318AC" w:rsidRDefault="00954103" w:rsidP="00957015">
      <w:pPr>
        <w:pStyle w:val="Bullets1"/>
        <w:numPr>
          <w:ilvl w:val="0"/>
          <w:numId w:val="0"/>
        </w:numPr>
        <w:spacing w:line="360" w:lineRule="auto"/>
        <w:ind w:left="9"/>
        <w:jc w:val="both"/>
      </w:pPr>
    </w:p>
    <w:p w:rsidR="00954103" w:rsidRPr="00D318AC" w:rsidRDefault="00954103" w:rsidP="00957015">
      <w:pPr>
        <w:pStyle w:val="Bullets1"/>
        <w:numPr>
          <w:ilvl w:val="0"/>
          <w:numId w:val="0"/>
        </w:numPr>
        <w:spacing w:line="360" w:lineRule="auto"/>
        <w:ind w:left="9"/>
        <w:jc w:val="both"/>
      </w:pPr>
    </w:p>
    <w:p w:rsidR="00957015" w:rsidRPr="00957015" w:rsidRDefault="00957015" w:rsidP="00957015">
      <w:pPr>
        <w:pStyle w:val="Bullets1"/>
        <w:numPr>
          <w:ilvl w:val="0"/>
          <w:numId w:val="0"/>
        </w:numPr>
        <w:spacing w:line="360" w:lineRule="auto"/>
        <w:ind w:left="9"/>
        <w:jc w:val="both"/>
        <w:rPr>
          <w:b/>
        </w:rPr>
      </w:pPr>
      <w:r>
        <w:rPr>
          <w:b/>
        </w:rPr>
        <w:t>Un avenir intelligent, sûr et durable</w:t>
      </w:r>
    </w:p>
    <w:p w:rsidR="00617CB7" w:rsidRPr="00D318AC" w:rsidRDefault="00617CB7" w:rsidP="00957015">
      <w:pPr>
        <w:pStyle w:val="Bullets1"/>
        <w:numPr>
          <w:ilvl w:val="0"/>
          <w:numId w:val="0"/>
        </w:numPr>
        <w:spacing w:line="360" w:lineRule="auto"/>
        <w:ind w:left="9"/>
        <w:jc w:val="both"/>
      </w:pPr>
    </w:p>
    <w:p w:rsidR="00617CB7" w:rsidRDefault="00617CB7" w:rsidP="00957015">
      <w:pPr>
        <w:pStyle w:val="Bullets1"/>
        <w:numPr>
          <w:ilvl w:val="0"/>
          <w:numId w:val="0"/>
        </w:numPr>
        <w:spacing w:line="360" w:lineRule="auto"/>
        <w:ind w:left="9"/>
        <w:jc w:val="both"/>
      </w:pPr>
      <w:r>
        <w:t>Ce code de conduite dédié aux ASI, propre aux acteurs de l’industrie des ASI en Europe, définit les pri</w:t>
      </w:r>
      <w:r w:rsidR="00D318AC">
        <w:t>ncipales exigences en matière d’efficacité</w:t>
      </w:r>
      <w:r>
        <w:t xml:space="preserve"> énergétique, avec des critères incluant la qualité et la disponibilité de la puissance fournie ainsi que le mode de fonctionnement.  </w:t>
      </w:r>
    </w:p>
    <w:p w:rsidR="00617CB7" w:rsidRPr="00D318AC" w:rsidRDefault="00617CB7" w:rsidP="00957015">
      <w:pPr>
        <w:pStyle w:val="Bullets1"/>
        <w:numPr>
          <w:ilvl w:val="0"/>
          <w:numId w:val="0"/>
        </w:numPr>
        <w:spacing w:line="360" w:lineRule="auto"/>
        <w:ind w:left="9"/>
        <w:jc w:val="both"/>
      </w:pPr>
    </w:p>
    <w:p w:rsidR="00617CB7" w:rsidRDefault="00617CB7" w:rsidP="00957015">
      <w:pPr>
        <w:pStyle w:val="Bullets1"/>
        <w:numPr>
          <w:ilvl w:val="0"/>
          <w:numId w:val="0"/>
        </w:numPr>
        <w:spacing w:line="360" w:lineRule="auto"/>
        <w:ind w:left="9"/>
        <w:jc w:val="both"/>
      </w:pPr>
      <w:r>
        <w:t>La recherche d’un</w:t>
      </w:r>
      <w:r w:rsidR="00D318AC">
        <w:t>e</w:t>
      </w:r>
      <w:r>
        <w:t xml:space="preserve"> meilleur</w:t>
      </w:r>
      <w:r w:rsidR="00D318AC">
        <w:t>e efficacité</w:t>
      </w:r>
      <w:r>
        <w:t xml:space="preserve"> énergétique est le principal moteur du marché des ASI, notamment en raison de l’importance des coûts énerg</w:t>
      </w:r>
      <w:r w:rsidR="00896BAB">
        <w:t xml:space="preserve">étiques pour les utilisateurs. </w:t>
      </w:r>
      <w:r>
        <w:t xml:space="preserve">En 2011, ce concept a été formalisé par un accord entre les principaux fabricants et le </w:t>
      </w:r>
      <w:r w:rsidR="00B4524B">
        <w:t>JRC</w:t>
      </w:r>
      <w:r>
        <w:t>, et a été mis à jour en 2022 avec le lancement de la marque Elite UPS.</w:t>
      </w:r>
    </w:p>
    <w:p w:rsidR="00617CB7" w:rsidRPr="00D318AC" w:rsidRDefault="00617CB7" w:rsidP="00957015">
      <w:pPr>
        <w:pStyle w:val="Bullets1"/>
        <w:numPr>
          <w:ilvl w:val="0"/>
          <w:numId w:val="0"/>
        </w:numPr>
        <w:spacing w:line="360" w:lineRule="auto"/>
        <w:ind w:left="9"/>
        <w:jc w:val="both"/>
      </w:pPr>
    </w:p>
    <w:p w:rsidR="00617CB7" w:rsidRPr="008132A9" w:rsidRDefault="00B6315E" w:rsidP="00957015">
      <w:pPr>
        <w:pStyle w:val="Bullets1"/>
        <w:numPr>
          <w:ilvl w:val="0"/>
          <w:numId w:val="0"/>
        </w:numPr>
        <w:spacing w:line="360" w:lineRule="auto"/>
        <w:ind w:left="9"/>
        <w:jc w:val="both"/>
      </w:pPr>
      <w:r>
        <w:t xml:space="preserve">Luca </w:t>
      </w:r>
      <w:proofErr w:type="spellStart"/>
      <w:r>
        <w:t>Franzan</w:t>
      </w:r>
      <w:proofErr w:type="spellEnd"/>
      <w:r>
        <w:t>, directeur du marketing et du développement commercial chez Socomec, explique : « </w:t>
      </w:r>
      <w:r w:rsidR="00D318AC">
        <w:t>L’efficacité</w:t>
      </w:r>
      <w:r>
        <w:t xml:space="preserve"> est au cœur de nos activités. Nous avons fait des progrès considérables dans ce domaine au cours des dix dernières années, mais nous voulons officialiser davantage notre engagement à y apporter des améliorations. C’est pour cela que nous signons un ensemble d’exigences de niveau Elite dans le cadre de ce code de conduite, un critère de la Taxonomie verte européenne. En adoptant ce code de conduite volontaire, nous garantissons des ASI plus sûrs et plus efficaces pour nos clients, avec en ligne de mire un avenir intelligent et durable ».  </w:t>
      </w:r>
    </w:p>
    <w:p w:rsidR="008132A9" w:rsidRPr="00D318AC" w:rsidRDefault="008132A9" w:rsidP="00DE2C84">
      <w:pPr>
        <w:pStyle w:val="Sous-titre1"/>
      </w:pPr>
    </w:p>
    <w:p w:rsidR="008132A9" w:rsidRPr="00D318AC" w:rsidRDefault="008132A9" w:rsidP="008132A9">
      <w:pPr>
        <w:pStyle w:val="Default"/>
      </w:pPr>
    </w:p>
    <w:p w:rsidR="008132A9" w:rsidRPr="00D318AC" w:rsidRDefault="008132A9" w:rsidP="00DE2C84">
      <w:pPr>
        <w:pStyle w:val="Sous-titre1"/>
      </w:pPr>
    </w:p>
    <w:p w:rsidR="008132A9" w:rsidRPr="00D318AC" w:rsidRDefault="008132A9" w:rsidP="00DE2C84">
      <w:pPr>
        <w:pStyle w:val="Sous-titre1"/>
      </w:pPr>
    </w:p>
    <w:p w:rsidR="00954103" w:rsidRDefault="00AB1D60" w:rsidP="00DE2C84">
      <w:pPr>
        <w:pStyle w:val="Sous-titre1"/>
      </w:pPr>
      <w:r>
        <w:t>REMARQUES</w:t>
      </w:r>
    </w:p>
    <w:p w:rsidR="00AB1D60" w:rsidRDefault="00AB1D60" w:rsidP="00AB1D60">
      <w:pPr>
        <w:pStyle w:val="Default"/>
      </w:pPr>
    </w:p>
    <w:p w:rsidR="00AB1D60" w:rsidRPr="00954103" w:rsidRDefault="00B6315E" w:rsidP="00AB1D60">
      <w:pPr>
        <w:pStyle w:val="Pa2"/>
        <w:jc w:val="both"/>
        <w:rPr>
          <w:rFonts w:ascii="Arial" w:hAnsi="Arial" w:cs="Arial"/>
          <w:color w:val="000000" w:themeColor="text1"/>
          <w:sz w:val="18"/>
          <w:szCs w:val="22"/>
        </w:rPr>
      </w:pPr>
      <w:r>
        <w:rPr>
          <w:rFonts w:ascii="Arial" w:hAnsi="Arial"/>
          <w:color w:val="000000" w:themeColor="text1"/>
          <w:sz w:val="18"/>
          <w:szCs w:val="22"/>
        </w:rPr>
        <w:t>*</w:t>
      </w:r>
      <w:r>
        <w:rPr>
          <w:rFonts w:ascii="Arial" w:hAnsi="Arial"/>
          <w:b/>
          <w:color w:val="000000" w:themeColor="text1"/>
          <w:sz w:val="18"/>
          <w:szCs w:val="22"/>
        </w:rPr>
        <w:t>CEMEP UPS</w:t>
      </w:r>
      <w:r>
        <w:rPr>
          <w:rFonts w:ascii="Arial" w:hAnsi="Arial"/>
          <w:color w:val="000000" w:themeColor="text1"/>
          <w:sz w:val="18"/>
          <w:szCs w:val="22"/>
        </w:rPr>
        <w:t xml:space="preserve"> est le comité de coordination des associations de fabricants de systèmes d’alimentation sans interruption statiques à usage industriel, commercial et similaire dans l’Union européenne. Les fabricants d’ASI sont animés par les mêmes défis : flexibilité, hybridation des sources d’alimentation, disponibilité et </w:t>
      </w:r>
      <w:r w:rsidR="00576CBD">
        <w:rPr>
          <w:rFonts w:ascii="Arial" w:hAnsi="Arial"/>
          <w:color w:val="000000" w:themeColor="text1"/>
          <w:sz w:val="18"/>
          <w:szCs w:val="22"/>
        </w:rPr>
        <w:t xml:space="preserve">efficacité </w:t>
      </w:r>
      <w:r>
        <w:rPr>
          <w:rFonts w:ascii="Arial" w:hAnsi="Arial"/>
          <w:color w:val="000000" w:themeColor="text1"/>
          <w:sz w:val="18"/>
          <w:szCs w:val="22"/>
        </w:rPr>
        <w:t>élevé</w:t>
      </w:r>
      <w:r w:rsidR="00576CBD">
        <w:rPr>
          <w:rFonts w:ascii="Arial" w:hAnsi="Arial"/>
          <w:color w:val="000000" w:themeColor="text1"/>
          <w:sz w:val="18"/>
          <w:szCs w:val="22"/>
        </w:rPr>
        <w:t>e</w:t>
      </w:r>
      <w:r>
        <w:rPr>
          <w:rFonts w:ascii="Arial" w:hAnsi="Arial"/>
          <w:color w:val="000000" w:themeColor="text1"/>
          <w:sz w:val="18"/>
          <w:szCs w:val="22"/>
        </w:rPr>
        <w:t xml:space="preserve">, durabilité des produits, connectivité, </w:t>
      </w:r>
      <w:proofErr w:type="spellStart"/>
      <w:r>
        <w:rPr>
          <w:rFonts w:ascii="Arial" w:hAnsi="Arial"/>
          <w:color w:val="000000" w:themeColor="text1"/>
          <w:sz w:val="18"/>
          <w:szCs w:val="22"/>
        </w:rPr>
        <w:t>cybersécurité</w:t>
      </w:r>
      <w:proofErr w:type="spellEnd"/>
      <w:r>
        <w:rPr>
          <w:rFonts w:ascii="Arial" w:hAnsi="Arial"/>
          <w:color w:val="000000" w:themeColor="text1"/>
          <w:sz w:val="18"/>
          <w:szCs w:val="22"/>
        </w:rPr>
        <w:t xml:space="preserve"> et conformité aux normes. Ils travaillent depuis plusieurs années avec des organismes de normalisation et européens tels que le Centre commun de recherche afin d’améliorer et de promouvoir les aspects environnementaux des ASI.</w:t>
      </w:r>
    </w:p>
    <w:p w:rsidR="00AB1D60" w:rsidRPr="00954103" w:rsidRDefault="00083E14" w:rsidP="00AB1D60">
      <w:pPr>
        <w:pStyle w:val="Pa2"/>
        <w:jc w:val="both"/>
        <w:rPr>
          <w:rStyle w:val="A2"/>
          <w:rFonts w:ascii="Arial" w:hAnsi="Arial" w:cs="Arial"/>
          <w:color w:val="203982"/>
          <w:sz w:val="14"/>
        </w:rPr>
      </w:pPr>
      <w:hyperlink r:id="rId8" w:history="1">
        <w:r w:rsidR="004C0729">
          <w:rPr>
            <w:rStyle w:val="Collegamentoipertestuale"/>
            <w:rFonts w:ascii="Arial" w:hAnsi="Arial"/>
            <w:sz w:val="14"/>
            <w:szCs w:val="18"/>
          </w:rPr>
          <w:t>https://cemep.eu/working-groups/uninterruptible-power-supplies-ups/</w:t>
        </w:r>
      </w:hyperlink>
    </w:p>
    <w:p w:rsidR="00AB1D60" w:rsidRPr="00954103" w:rsidRDefault="00AB1D60" w:rsidP="00AB1D60">
      <w:pPr>
        <w:pStyle w:val="Default"/>
        <w:rPr>
          <w:sz w:val="20"/>
        </w:rPr>
      </w:pPr>
    </w:p>
    <w:p w:rsidR="00AB1D60" w:rsidRPr="00954103" w:rsidRDefault="00954103" w:rsidP="00AB1D60">
      <w:pPr>
        <w:pStyle w:val="Pa2"/>
        <w:jc w:val="both"/>
        <w:rPr>
          <w:rFonts w:ascii="Arial" w:hAnsi="Arial" w:cs="Arial"/>
          <w:color w:val="000000" w:themeColor="text1"/>
          <w:sz w:val="18"/>
          <w:szCs w:val="22"/>
        </w:rPr>
      </w:pPr>
      <w:r>
        <w:rPr>
          <w:rFonts w:ascii="Arial" w:hAnsi="Arial"/>
          <w:color w:val="000000" w:themeColor="text1"/>
          <w:sz w:val="18"/>
          <w:szCs w:val="22"/>
        </w:rPr>
        <w:t>**</w:t>
      </w:r>
      <w:r w:rsidR="00B4524B" w:rsidRPr="00B4524B">
        <w:rPr>
          <w:rFonts w:ascii="Arial" w:hAnsi="Arial"/>
          <w:color w:val="000000" w:themeColor="text1"/>
          <w:sz w:val="18"/>
          <w:szCs w:val="22"/>
        </w:rPr>
        <w:t xml:space="preserve"> </w:t>
      </w:r>
      <w:r w:rsidR="00B4524B" w:rsidRPr="00DD157E">
        <w:rPr>
          <w:rFonts w:ascii="Arial" w:hAnsi="Arial"/>
          <w:color w:val="000000" w:themeColor="text1"/>
          <w:sz w:val="18"/>
          <w:szCs w:val="22"/>
        </w:rPr>
        <w:t xml:space="preserve">Joint </w:t>
      </w:r>
      <w:proofErr w:type="spellStart"/>
      <w:r w:rsidR="00B4524B" w:rsidRPr="00DD157E">
        <w:rPr>
          <w:rFonts w:ascii="Arial" w:hAnsi="Arial"/>
          <w:color w:val="000000" w:themeColor="text1"/>
          <w:sz w:val="18"/>
          <w:szCs w:val="22"/>
        </w:rPr>
        <w:t>Research</w:t>
      </w:r>
      <w:proofErr w:type="spellEnd"/>
      <w:r w:rsidR="00B4524B" w:rsidRPr="00DD157E">
        <w:rPr>
          <w:rFonts w:ascii="Arial" w:hAnsi="Arial"/>
          <w:color w:val="000000" w:themeColor="text1"/>
          <w:sz w:val="18"/>
          <w:szCs w:val="22"/>
        </w:rPr>
        <w:t xml:space="preserve"> Center JRC</w:t>
      </w:r>
      <w:r w:rsidR="00B4524B">
        <w:rPr>
          <w:rFonts w:ascii="Arial" w:hAnsi="Arial"/>
          <w:b/>
          <w:color w:val="000000" w:themeColor="text1"/>
          <w:sz w:val="18"/>
          <w:szCs w:val="22"/>
        </w:rPr>
        <w:t xml:space="preserve"> </w:t>
      </w:r>
      <w:r>
        <w:rPr>
          <w:rFonts w:ascii="Arial" w:hAnsi="Arial"/>
          <w:b/>
          <w:color w:val="000000" w:themeColor="text1"/>
          <w:sz w:val="18"/>
          <w:szCs w:val="22"/>
        </w:rPr>
        <w:t>(</w:t>
      </w:r>
      <w:r w:rsidR="00B4524B">
        <w:rPr>
          <w:rFonts w:ascii="Arial" w:hAnsi="Arial"/>
          <w:b/>
          <w:color w:val="000000" w:themeColor="text1"/>
          <w:sz w:val="18"/>
          <w:szCs w:val="22"/>
        </w:rPr>
        <w:t>JRC)</w:t>
      </w:r>
      <w:r>
        <w:rPr>
          <w:rFonts w:ascii="Arial" w:hAnsi="Arial"/>
          <w:b/>
          <w:color w:val="000000" w:themeColor="text1"/>
          <w:sz w:val="18"/>
          <w:szCs w:val="22"/>
        </w:rPr>
        <w:t xml:space="preserve"> de la Commission européenne</w:t>
      </w:r>
    </w:p>
    <w:p w:rsidR="00AB1D60" w:rsidRPr="00954103" w:rsidRDefault="00AB1D60" w:rsidP="00AB1D60">
      <w:pPr>
        <w:pStyle w:val="Pa2"/>
        <w:jc w:val="both"/>
        <w:rPr>
          <w:rFonts w:ascii="Arial" w:hAnsi="Arial" w:cs="Arial"/>
          <w:color w:val="000000" w:themeColor="text1"/>
          <w:sz w:val="18"/>
          <w:szCs w:val="22"/>
        </w:rPr>
      </w:pPr>
      <w:r>
        <w:rPr>
          <w:rFonts w:ascii="Arial" w:hAnsi="Arial"/>
          <w:color w:val="000000" w:themeColor="text1"/>
          <w:sz w:val="18"/>
          <w:szCs w:val="22"/>
        </w:rPr>
        <w:t xml:space="preserve">Au cours des 10 dernières années, le </w:t>
      </w:r>
      <w:r w:rsidR="00B4524B">
        <w:rPr>
          <w:rFonts w:ascii="Arial" w:hAnsi="Arial"/>
          <w:color w:val="000000" w:themeColor="text1"/>
          <w:sz w:val="18"/>
          <w:szCs w:val="22"/>
        </w:rPr>
        <w:t>JRC</w:t>
      </w:r>
      <w:r>
        <w:rPr>
          <w:rFonts w:ascii="Arial" w:hAnsi="Arial"/>
          <w:color w:val="000000" w:themeColor="text1"/>
          <w:sz w:val="18"/>
          <w:szCs w:val="22"/>
        </w:rPr>
        <w:t xml:space="preserve"> </w:t>
      </w:r>
      <w:r w:rsidR="00DD157E">
        <w:rPr>
          <w:rFonts w:ascii="Arial" w:hAnsi="Arial"/>
          <w:color w:val="000000" w:themeColor="text1"/>
          <w:sz w:val="18"/>
          <w:szCs w:val="22"/>
        </w:rPr>
        <w:t>(</w:t>
      </w:r>
      <w:r w:rsidR="00DD157E" w:rsidRPr="00DD157E">
        <w:rPr>
          <w:rFonts w:ascii="Arial" w:hAnsi="Arial"/>
          <w:color w:val="000000" w:themeColor="text1"/>
          <w:sz w:val="18"/>
          <w:szCs w:val="22"/>
        </w:rPr>
        <w:t xml:space="preserve">ou Joint </w:t>
      </w:r>
      <w:proofErr w:type="spellStart"/>
      <w:r w:rsidR="00DD157E" w:rsidRPr="00DD157E">
        <w:rPr>
          <w:rFonts w:ascii="Arial" w:hAnsi="Arial"/>
          <w:color w:val="000000" w:themeColor="text1"/>
          <w:sz w:val="18"/>
          <w:szCs w:val="22"/>
        </w:rPr>
        <w:t>Research</w:t>
      </w:r>
      <w:proofErr w:type="spellEnd"/>
      <w:r w:rsidR="00DD157E" w:rsidRPr="00DD157E">
        <w:rPr>
          <w:rFonts w:ascii="Arial" w:hAnsi="Arial"/>
          <w:color w:val="000000" w:themeColor="text1"/>
          <w:sz w:val="18"/>
          <w:szCs w:val="22"/>
        </w:rPr>
        <w:t xml:space="preserve"> Center JRC) </w:t>
      </w:r>
      <w:r w:rsidR="00DD157E">
        <w:rPr>
          <w:rFonts w:ascii="Arial" w:hAnsi="Arial"/>
          <w:color w:val="000000" w:themeColor="text1"/>
          <w:sz w:val="18"/>
          <w:szCs w:val="22"/>
        </w:rPr>
        <w:t xml:space="preserve">de la Commission européenne </w:t>
      </w:r>
      <w:r>
        <w:rPr>
          <w:rFonts w:ascii="Arial" w:hAnsi="Arial"/>
          <w:color w:val="000000" w:themeColor="text1"/>
          <w:sz w:val="18"/>
          <w:szCs w:val="22"/>
        </w:rPr>
        <w:t>a mis en œuvre plusieurs projets dans le cadre d’un Code de conduite.</w:t>
      </w:r>
    </w:p>
    <w:p w:rsidR="00AB1D60" w:rsidRPr="00954103" w:rsidRDefault="00AB1D60" w:rsidP="00AB1D60">
      <w:pPr>
        <w:pStyle w:val="Pa2"/>
        <w:jc w:val="both"/>
        <w:rPr>
          <w:rFonts w:ascii="Arial" w:hAnsi="Arial" w:cs="Arial"/>
          <w:color w:val="000000" w:themeColor="text1"/>
          <w:sz w:val="18"/>
          <w:szCs w:val="22"/>
        </w:rPr>
      </w:pPr>
      <w:r>
        <w:rPr>
          <w:rFonts w:ascii="Arial" w:hAnsi="Arial"/>
          <w:color w:val="000000" w:themeColor="text1"/>
          <w:sz w:val="18"/>
          <w:szCs w:val="22"/>
        </w:rPr>
        <w:t>Signé de manière volontaire, celui-ci fournit aux utilisateurs les meilleures pratiques visant à améliorer l</w:t>
      </w:r>
      <w:r w:rsidR="00D318AC">
        <w:rPr>
          <w:rFonts w:ascii="Arial" w:hAnsi="Arial"/>
          <w:color w:val="000000" w:themeColor="text1"/>
          <w:sz w:val="18"/>
          <w:szCs w:val="22"/>
        </w:rPr>
        <w:t>’efficacité</w:t>
      </w:r>
      <w:r>
        <w:rPr>
          <w:rFonts w:ascii="Arial" w:hAnsi="Arial"/>
          <w:color w:val="000000" w:themeColor="text1"/>
          <w:sz w:val="18"/>
          <w:szCs w:val="22"/>
        </w:rPr>
        <w:t xml:space="preserve"> énergétique et à réduire les émissions de gaz à effet de serre.</w:t>
      </w:r>
    </w:p>
    <w:p w:rsidR="00AB1D60" w:rsidRPr="00954103" w:rsidRDefault="00AB1D60" w:rsidP="00AB1D60">
      <w:pPr>
        <w:pStyle w:val="Pa2"/>
        <w:jc w:val="both"/>
        <w:rPr>
          <w:rFonts w:ascii="Arial" w:hAnsi="Arial" w:cs="Arial"/>
          <w:color w:val="000000" w:themeColor="text1"/>
          <w:sz w:val="18"/>
          <w:szCs w:val="22"/>
        </w:rPr>
      </w:pPr>
      <w:r>
        <w:rPr>
          <w:rFonts w:ascii="Arial" w:hAnsi="Arial"/>
          <w:color w:val="000000" w:themeColor="text1"/>
          <w:sz w:val="18"/>
          <w:szCs w:val="22"/>
        </w:rPr>
        <w:t xml:space="preserve">Depuis 2008, les membres du CEMEP UPS se sont engagés dans un accord volontaire avec le </w:t>
      </w:r>
      <w:r w:rsidR="00B4524B">
        <w:rPr>
          <w:rFonts w:ascii="Arial" w:hAnsi="Arial"/>
          <w:color w:val="000000" w:themeColor="text1"/>
          <w:sz w:val="18"/>
          <w:szCs w:val="22"/>
        </w:rPr>
        <w:t>JRC</w:t>
      </w:r>
      <w:r>
        <w:rPr>
          <w:rFonts w:ascii="Arial" w:hAnsi="Arial"/>
          <w:color w:val="000000" w:themeColor="text1"/>
          <w:sz w:val="18"/>
          <w:szCs w:val="22"/>
        </w:rPr>
        <w:t xml:space="preserve"> en lien avec les systèmes d’alimentation sans interruption. La dernière mise à jour de 2021 inclut le niveau Elite Class UPS, qui permet d’orienter davantage le marché vers les produits les plus performants.</w:t>
      </w:r>
    </w:p>
    <w:p w:rsidR="00954103" w:rsidRPr="00954103" w:rsidRDefault="00083E14" w:rsidP="00954103">
      <w:pPr>
        <w:pStyle w:val="Sous-titre1"/>
        <w:rPr>
          <w:rFonts w:cs="Source Code Pro"/>
          <w:b w:val="0"/>
          <w:color w:val="1B1B1A"/>
          <w:sz w:val="14"/>
          <w:szCs w:val="18"/>
        </w:rPr>
      </w:pPr>
      <w:hyperlink r:id="rId9" w:history="1">
        <w:r w:rsidR="00954103">
          <w:rPr>
            <w:rStyle w:val="Collegamentoipertestuale"/>
            <w:b w:val="0"/>
            <w:sz w:val="14"/>
            <w:szCs w:val="18"/>
          </w:rPr>
          <w:t>https://ec.europa</w:t>
        </w:r>
        <w:bookmarkStart w:id="0" w:name="_GoBack"/>
        <w:bookmarkEnd w:id="0"/>
        <w:r w:rsidR="00954103">
          <w:rPr>
            <w:rStyle w:val="Collegamentoipertestuale"/>
            <w:b w:val="0"/>
            <w:sz w:val="14"/>
            <w:szCs w:val="18"/>
          </w:rPr>
          <w:t>.</w:t>
        </w:r>
        <w:r w:rsidR="00954103">
          <w:rPr>
            <w:rStyle w:val="Collegamentoipertestuale"/>
            <w:b w:val="0"/>
            <w:sz w:val="14"/>
            <w:szCs w:val="18"/>
          </w:rPr>
          <w:t>eu/jrc/en</w:t>
        </w:r>
      </w:hyperlink>
    </w:p>
    <w:p w:rsidR="003A01F8" w:rsidRPr="00D318AC" w:rsidRDefault="003A01F8" w:rsidP="003A01F8">
      <w:pPr>
        <w:pStyle w:val="Bullets1"/>
        <w:numPr>
          <w:ilvl w:val="0"/>
          <w:numId w:val="0"/>
        </w:numPr>
        <w:jc w:val="both"/>
      </w:pPr>
    </w:p>
    <w:p w:rsidR="00EF074F" w:rsidRPr="00D318AC" w:rsidRDefault="00EF074F" w:rsidP="00B168A7">
      <w:pPr>
        <w:spacing w:after="0" w:line="240" w:lineRule="auto"/>
        <w:rPr>
          <w:rFonts w:ascii="Arial" w:hAnsi="Arial" w:cs="Arial"/>
          <w:sz w:val="18"/>
          <w:szCs w:val="18"/>
          <w:lang w:eastAsia="fr-FR"/>
        </w:rPr>
      </w:pPr>
    </w:p>
    <w:tbl>
      <w:tblPr>
        <w:tblStyle w:val="Grigliatabella"/>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EF074F" w:rsidRPr="00002AE2" w:rsidTr="003A01F8">
        <w:tc>
          <w:tcPr>
            <w:tcW w:w="7763" w:type="dxa"/>
            <w:shd w:val="clear" w:color="auto" w:fill="auto"/>
          </w:tcPr>
          <w:p w:rsidR="00EF074F" w:rsidRPr="002F45EF" w:rsidRDefault="00EF074F" w:rsidP="00374971">
            <w:pPr>
              <w:spacing w:before="120" w:after="120"/>
              <w:jc w:val="both"/>
              <w:rPr>
                <w:rFonts w:ascii="Arial" w:eastAsia="Times New Roman" w:hAnsi="Arial"/>
                <w:b/>
                <w:bCs/>
                <w:color w:val="003C8A"/>
                <w:sz w:val="21"/>
                <w:szCs w:val="21"/>
              </w:rPr>
            </w:pPr>
            <w:r>
              <w:rPr>
                <w:rFonts w:ascii="Arial" w:hAnsi="Arial"/>
                <w:b/>
                <w:bCs/>
                <w:color w:val="003C8A"/>
                <w:sz w:val="21"/>
                <w:szCs w:val="21"/>
              </w:rPr>
              <w:t>SOCOMEC : Quand l'énergie est primordiale</w:t>
            </w:r>
          </w:p>
        </w:tc>
        <w:tc>
          <w:tcPr>
            <w:tcW w:w="283" w:type="dxa"/>
            <w:shd w:val="clear" w:color="auto" w:fill="auto"/>
          </w:tcPr>
          <w:p w:rsidR="00EF074F" w:rsidRPr="002F45EF" w:rsidRDefault="00EF074F" w:rsidP="003A01F8">
            <w:pPr>
              <w:spacing w:before="120" w:after="120"/>
              <w:jc w:val="both"/>
              <w:rPr>
                <w:rFonts w:ascii="Arial" w:eastAsia="Times New Roman" w:hAnsi="Arial"/>
                <w:b/>
                <w:bCs/>
                <w:color w:val="003C8A"/>
                <w:sz w:val="21"/>
                <w:szCs w:val="21"/>
                <w:lang w:eastAsia="it-IT"/>
              </w:rPr>
            </w:pPr>
          </w:p>
        </w:tc>
        <w:tc>
          <w:tcPr>
            <w:tcW w:w="2552" w:type="dxa"/>
            <w:shd w:val="clear" w:color="auto" w:fill="auto"/>
          </w:tcPr>
          <w:p w:rsidR="00EF074F" w:rsidRPr="002F45EF" w:rsidRDefault="00460C85" w:rsidP="006027DE">
            <w:pPr>
              <w:spacing w:before="120" w:after="120"/>
              <w:jc w:val="both"/>
              <w:rPr>
                <w:rFonts w:ascii="Arial" w:eastAsia="Times New Roman" w:hAnsi="Arial"/>
                <w:b/>
                <w:bCs/>
                <w:color w:val="003C8A"/>
                <w:sz w:val="21"/>
                <w:szCs w:val="21"/>
              </w:rPr>
            </w:pPr>
            <w:r>
              <w:rPr>
                <w:rFonts w:ascii="Arial" w:hAnsi="Arial"/>
                <w:b/>
                <w:bCs/>
                <w:color w:val="003C8A"/>
                <w:sz w:val="21"/>
                <w:szCs w:val="21"/>
              </w:rPr>
              <w:t>Contact presse</w:t>
            </w:r>
          </w:p>
        </w:tc>
      </w:tr>
      <w:tr w:rsidR="00EF074F" w:rsidRPr="00071C0A" w:rsidTr="003A01F8">
        <w:trPr>
          <w:trHeight w:val="1546"/>
        </w:trPr>
        <w:tc>
          <w:tcPr>
            <w:tcW w:w="7763" w:type="dxa"/>
          </w:tcPr>
          <w:p w:rsidR="00374971" w:rsidRPr="00EF074F" w:rsidRDefault="00747E2D" w:rsidP="00374971">
            <w:pPr>
              <w:autoSpaceDE w:val="0"/>
              <w:autoSpaceDN w:val="0"/>
              <w:jc w:val="both"/>
              <w:rPr>
                <w:rFonts w:ascii="Arial" w:eastAsia="Times New Roman" w:hAnsi="Arial"/>
                <w:color w:val="003C8A"/>
                <w:sz w:val="15"/>
                <w:szCs w:val="15"/>
              </w:rPr>
            </w:pPr>
            <w:r>
              <w:rPr>
                <w:rFonts w:ascii="Arial" w:hAnsi="Arial"/>
                <w:color w:val="003C8A"/>
                <w:sz w:val="15"/>
                <w:szCs w:val="15"/>
              </w:rPr>
              <w:t>Fondé en 1922, SOCOMEC est un groupe industriel indépendant qui emploie 3 600 experts répartis dans 28 filiales implantées dans le monde. Notre activité principale : la disponibilité, le contrôle et la sécurité de réseaux électriques basse tension au service des performances énergétiques de nos clients. En 2018, le chiffre d’affaires de SOCOMEC s’est élevé à 537 millions d'euros.</w:t>
            </w:r>
          </w:p>
          <w:p w:rsidR="00EF074F" w:rsidRPr="006027DE" w:rsidRDefault="00EF074F" w:rsidP="003A01F8">
            <w:pPr>
              <w:autoSpaceDE w:val="0"/>
              <w:autoSpaceDN w:val="0"/>
              <w:jc w:val="both"/>
              <w:rPr>
                <w:rFonts w:ascii="Arial" w:eastAsia="Times New Roman" w:hAnsi="Arial"/>
                <w:color w:val="003C8A"/>
                <w:sz w:val="15"/>
                <w:szCs w:val="15"/>
                <w:lang w:eastAsia="it-IT"/>
              </w:rPr>
            </w:pPr>
          </w:p>
          <w:p w:rsidR="00EF074F" w:rsidRPr="002F45EF" w:rsidRDefault="00374971" w:rsidP="003A01F8">
            <w:pPr>
              <w:autoSpaceDE w:val="0"/>
              <w:autoSpaceDN w:val="0"/>
              <w:jc w:val="both"/>
              <w:rPr>
                <w:rFonts w:ascii="Arial" w:eastAsia="Times New Roman" w:hAnsi="Arial"/>
                <w:color w:val="003C8A"/>
                <w:sz w:val="15"/>
                <w:szCs w:val="15"/>
              </w:rPr>
            </w:pPr>
            <w:r>
              <w:rPr>
                <w:noProof/>
                <w:lang w:val="it-IT" w:eastAsia="it-IT"/>
              </w:rPr>
              <w:drawing>
                <wp:inline distT="0" distB="0" distL="0" distR="0">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rsidR="00EF074F" w:rsidRPr="002F45EF" w:rsidRDefault="00EF074F" w:rsidP="003A01F8">
            <w:pPr>
              <w:jc w:val="both"/>
              <w:rPr>
                <w:rFonts w:ascii="Arial" w:eastAsia="Times New Roman" w:hAnsi="Arial"/>
                <w:color w:val="003C8A"/>
                <w:sz w:val="15"/>
                <w:szCs w:val="15"/>
                <w:lang w:eastAsia="it-IT"/>
              </w:rPr>
            </w:pPr>
          </w:p>
        </w:tc>
        <w:tc>
          <w:tcPr>
            <w:tcW w:w="2552" w:type="dxa"/>
          </w:tcPr>
          <w:p w:rsidR="005B5EF1" w:rsidRPr="005003CD" w:rsidRDefault="005B5EF1" w:rsidP="005B5EF1">
            <w:pPr>
              <w:spacing w:after="60"/>
              <w:jc w:val="both"/>
              <w:rPr>
                <w:rFonts w:ascii="Arial" w:eastAsia="Times New Roman" w:hAnsi="Arial"/>
                <w:b/>
                <w:color w:val="003C8A"/>
                <w:sz w:val="15"/>
                <w:szCs w:val="15"/>
                <w:lang w:val="en-US" w:eastAsia="it-IT"/>
              </w:rPr>
            </w:pPr>
            <w:r w:rsidRPr="005003CD">
              <w:rPr>
                <w:rFonts w:ascii="Arial" w:eastAsia="Times New Roman" w:hAnsi="Arial"/>
                <w:b/>
                <w:color w:val="003C8A"/>
                <w:sz w:val="15"/>
                <w:szCs w:val="15"/>
                <w:lang w:val="en-US" w:eastAsia="it-IT"/>
              </w:rPr>
              <w:t xml:space="preserve">Luca </w:t>
            </w:r>
            <w:proofErr w:type="spellStart"/>
            <w:r w:rsidRPr="005003CD">
              <w:rPr>
                <w:rFonts w:ascii="Arial" w:eastAsia="Times New Roman" w:hAnsi="Arial"/>
                <w:b/>
                <w:color w:val="003C8A"/>
                <w:sz w:val="15"/>
                <w:szCs w:val="15"/>
                <w:lang w:val="en-US" w:eastAsia="it-IT"/>
              </w:rPr>
              <w:t>Franzan</w:t>
            </w:r>
            <w:proofErr w:type="spellEnd"/>
          </w:p>
          <w:p w:rsidR="005B5EF1" w:rsidRDefault="005B5EF1" w:rsidP="005B5EF1">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Application Marketing and Business Development Director</w:t>
            </w:r>
          </w:p>
          <w:p w:rsidR="005B5EF1" w:rsidRPr="005003CD" w:rsidRDefault="005B5EF1" w:rsidP="005B5EF1">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+ 39 0444598732</w:t>
            </w:r>
          </w:p>
          <w:p w:rsidR="005B5EF1" w:rsidRPr="00460C85" w:rsidRDefault="00083E14" w:rsidP="005B5EF1">
            <w:pPr>
              <w:jc w:val="both"/>
              <w:rPr>
                <w:rStyle w:val="Collegamentoipertestuale"/>
                <w:rFonts w:ascii="Arial" w:eastAsia="Times New Roman" w:hAnsi="Arial"/>
                <w:sz w:val="15"/>
                <w:szCs w:val="15"/>
                <w:lang w:val="en-US" w:eastAsia="it-IT"/>
              </w:rPr>
            </w:pPr>
            <w:hyperlink r:id="rId11" w:history="1">
              <w:r w:rsidR="005B5EF1" w:rsidRPr="005003CD">
                <w:rPr>
                  <w:rStyle w:val="Collegamentoipertestuale"/>
                  <w:rFonts w:ascii="Arial" w:eastAsia="Times New Roman" w:hAnsi="Arial"/>
                  <w:sz w:val="15"/>
                  <w:szCs w:val="15"/>
                  <w:lang w:val="en-US" w:eastAsia="it-IT"/>
                </w:rPr>
                <w:t>luca.franzan</w:t>
              </w:r>
              <w:r w:rsidR="005B5EF1" w:rsidRPr="00460C85">
                <w:rPr>
                  <w:rStyle w:val="Collegamentoipertestuale"/>
                  <w:rFonts w:ascii="Arial" w:eastAsia="Times New Roman" w:hAnsi="Arial"/>
                  <w:sz w:val="15"/>
                  <w:szCs w:val="15"/>
                  <w:lang w:val="en-US" w:eastAsia="it-IT"/>
                </w:rPr>
                <w:t>@socomec.com</w:t>
              </w:r>
            </w:hyperlink>
          </w:p>
          <w:p w:rsidR="005B5EF1" w:rsidRPr="00460C85" w:rsidRDefault="00083E14" w:rsidP="005B5EF1">
            <w:pPr>
              <w:jc w:val="both"/>
              <w:rPr>
                <w:rStyle w:val="Collegamentoipertestuale"/>
                <w:rFonts w:ascii="Arial" w:eastAsia="Times New Roman" w:hAnsi="Arial"/>
                <w:sz w:val="15"/>
                <w:szCs w:val="15"/>
                <w:lang w:val="en-US" w:eastAsia="it-IT"/>
              </w:rPr>
            </w:pPr>
            <w:hyperlink r:id="rId12" w:history="1">
              <w:r w:rsidR="005B5EF1" w:rsidRPr="002620B5">
                <w:rPr>
                  <w:rStyle w:val="Collegamentoipertestuale"/>
                  <w:rFonts w:ascii="Arial" w:eastAsia="Times New Roman" w:hAnsi="Arial"/>
                  <w:sz w:val="15"/>
                  <w:szCs w:val="15"/>
                  <w:lang w:val="en-US" w:eastAsia="it-IT"/>
                </w:rPr>
                <w:t>www.socomec.co.uk</w:t>
              </w:r>
            </w:hyperlink>
            <w:r w:rsidR="005B5EF1">
              <w:rPr>
                <w:rFonts w:ascii="Arial" w:eastAsia="Times New Roman" w:hAnsi="Arial"/>
                <w:sz w:val="15"/>
                <w:szCs w:val="15"/>
                <w:lang w:val="en-US" w:eastAsia="it-IT"/>
              </w:rPr>
              <w:t xml:space="preserve"> </w:t>
            </w:r>
            <w:r w:rsidR="005B5EF1" w:rsidRPr="00460C85">
              <w:rPr>
                <w:rFonts w:ascii="Arial" w:eastAsia="Times New Roman" w:hAnsi="Arial"/>
                <w:sz w:val="15"/>
                <w:szCs w:val="15"/>
                <w:lang w:val="en-US" w:eastAsia="it-IT"/>
              </w:rPr>
              <w:t xml:space="preserve"> </w:t>
            </w:r>
          </w:p>
          <w:p w:rsidR="00DE2C84" w:rsidRPr="00460C85" w:rsidRDefault="00DE2C84" w:rsidP="003A01F8">
            <w:pPr>
              <w:jc w:val="both"/>
              <w:rPr>
                <w:rFonts w:ascii="Arial" w:eastAsia="Times New Roman" w:hAnsi="Arial"/>
                <w:color w:val="003C8A"/>
                <w:sz w:val="15"/>
                <w:szCs w:val="15"/>
                <w:lang w:val="en-US" w:eastAsia="it-IT"/>
              </w:rPr>
            </w:pPr>
          </w:p>
        </w:tc>
      </w:tr>
    </w:tbl>
    <w:p w:rsidR="00D86B2E" w:rsidRPr="003A01F8" w:rsidRDefault="00D86B2E" w:rsidP="000617B1">
      <w:pPr>
        <w:pStyle w:val="LgendePhoto"/>
        <w:rPr>
          <w:lang w:eastAsia="fr-FR"/>
        </w:rPr>
      </w:pPr>
    </w:p>
    <w:sectPr w:rsidR="00D86B2E" w:rsidRPr="003A01F8" w:rsidSect="00676A94">
      <w:headerReference w:type="default" r:id="rId13"/>
      <w:footerReference w:type="default" r:id="rId14"/>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E14" w:rsidRDefault="00083E14" w:rsidP="00DC7D80">
      <w:pPr>
        <w:spacing w:after="0" w:line="240" w:lineRule="auto"/>
      </w:pPr>
      <w:r>
        <w:separator/>
      </w:r>
    </w:p>
  </w:endnote>
  <w:endnote w:type="continuationSeparator" w:id="0">
    <w:p w:rsidR="00083E14" w:rsidRDefault="00083E14"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ource Code Pro">
    <w:altName w:val="Cambria Math"/>
    <w:panose1 w:val="020B0509030403020204"/>
    <w:charset w:val="00"/>
    <w:family w:val="modern"/>
    <w:pitch w:val="fixed"/>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F8" w:rsidRPr="00676A94" w:rsidRDefault="003A01F8" w:rsidP="00676A94">
    <w:pPr>
      <w:pStyle w:val="Pidipagina"/>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1A5D90">
      <w:rPr>
        <w:rFonts w:ascii="Arial" w:hAnsi="Arial" w:cs="Arial"/>
        <w:b/>
        <w:noProof/>
        <w:color w:val="003C8A"/>
      </w:rPr>
      <w:t>1</w:t>
    </w:r>
    <w:r w:rsidRPr="00676A94">
      <w:rPr>
        <w:rFonts w:ascii="Arial" w:hAnsi="Arial" w:cs="Arial"/>
        <w:b/>
        <w:color w:val="003C8A"/>
      </w:rPr>
      <w:fldChar w:fldCharType="end"/>
    </w:r>
    <w:r>
      <w:rPr>
        <w:rFonts w:ascii="Arial" w:hAnsi="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1A5D90">
      <w:rPr>
        <w:rFonts w:ascii="Arial" w:hAnsi="Arial" w:cs="Arial"/>
        <w:b/>
        <w:noProof/>
        <w:color w:val="003C8A"/>
      </w:rPr>
      <w:t>2</w:t>
    </w:r>
    <w:r>
      <w:rPr>
        <w:rFonts w:ascii="Arial" w:hAnsi="Arial" w:cs="Arial"/>
        <w:b/>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E14" w:rsidRDefault="00083E14" w:rsidP="00DC7D80">
      <w:pPr>
        <w:spacing w:after="0" w:line="240" w:lineRule="auto"/>
      </w:pPr>
      <w:r>
        <w:separator/>
      </w:r>
    </w:p>
  </w:footnote>
  <w:footnote w:type="continuationSeparator" w:id="0">
    <w:p w:rsidR="00083E14" w:rsidRDefault="00083E14"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3A01F8" w:rsidRPr="003E374B" w:rsidTr="00B92CB3">
      <w:tc>
        <w:tcPr>
          <w:tcW w:w="5172" w:type="dxa"/>
          <w:shd w:val="clear" w:color="auto" w:fill="auto"/>
          <w:vAlign w:val="center"/>
        </w:tcPr>
        <w:p w:rsidR="003A01F8" w:rsidRPr="008803CE" w:rsidRDefault="003A01F8" w:rsidP="00B92CB3">
          <w:pPr>
            <w:pStyle w:val="Intestazione"/>
            <w:rPr>
              <w:b/>
              <w:bCs/>
              <w:color w:val="003C8A"/>
            </w:rPr>
          </w:pPr>
          <w:r>
            <w:rPr>
              <w:noProof/>
              <w:color w:val="7F7F7F"/>
              <w:lang w:val="it-IT" w:eastAsia="it-IT"/>
            </w:rPr>
            <w:drawing>
              <wp:inline distT="0" distB="0" distL="0" distR="0" wp14:anchorId="78F7A0C0" wp14:editId="4EDEEB6C">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3A01F8" w:rsidRPr="00774243" w:rsidRDefault="003A01F8" w:rsidP="00774243">
          <w:pPr>
            <w:pStyle w:val="Intestazione"/>
            <w:jc w:val="right"/>
            <w:rPr>
              <w:rFonts w:ascii="Arial" w:hAnsi="Arial" w:cs="Arial"/>
              <w:b/>
              <w:bCs/>
              <w:color w:val="003C8A"/>
            </w:rPr>
          </w:pPr>
          <w:r>
            <w:rPr>
              <w:rFonts w:ascii="Arial" w:hAnsi="Arial"/>
              <w:b/>
              <w:bCs/>
              <w:color w:val="003C8A"/>
              <w:sz w:val="28"/>
              <w:szCs w:val="28"/>
            </w:rPr>
            <w:t>Communiqué de presse</w:t>
          </w:r>
        </w:p>
      </w:tc>
    </w:tr>
  </w:tbl>
  <w:p w:rsidR="003A01F8" w:rsidRDefault="003A01F8">
    <w:pPr>
      <w:pStyle w:val="Intestazione"/>
    </w:pPr>
  </w:p>
  <w:p w:rsidR="003A01F8" w:rsidRDefault="003A01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zione"/>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31E4A"/>
    <w:multiLevelType w:val="hybridMultilevel"/>
    <w:tmpl w:val="62C8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2"/>
  </w:num>
  <w:num w:numId="4">
    <w:abstractNumId w:val="2"/>
  </w:num>
  <w:num w:numId="5">
    <w:abstractNumId w:val="1"/>
  </w:num>
  <w:num w:numId="6">
    <w:abstractNumId w:val="11"/>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4A"/>
    <w:rsid w:val="00002AE2"/>
    <w:rsid w:val="00002FC2"/>
    <w:rsid w:val="0000477F"/>
    <w:rsid w:val="000136C0"/>
    <w:rsid w:val="00022999"/>
    <w:rsid w:val="000238AE"/>
    <w:rsid w:val="0004340F"/>
    <w:rsid w:val="00050D6B"/>
    <w:rsid w:val="00051889"/>
    <w:rsid w:val="00060FD3"/>
    <w:rsid w:val="00061163"/>
    <w:rsid w:val="000617B1"/>
    <w:rsid w:val="000671BA"/>
    <w:rsid w:val="00067597"/>
    <w:rsid w:val="00071C0A"/>
    <w:rsid w:val="00072483"/>
    <w:rsid w:val="00075D85"/>
    <w:rsid w:val="00083E14"/>
    <w:rsid w:val="00086027"/>
    <w:rsid w:val="000B7608"/>
    <w:rsid w:val="000C604A"/>
    <w:rsid w:val="000D089F"/>
    <w:rsid w:val="000F13DD"/>
    <w:rsid w:val="000F3989"/>
    <w:rsid w:val="00101DC8"/>
    <w:rsid w:val="00106249"/>
    <w:rsid w:val="001066B8"/>
    <w:rsid w:val="00112E53"/>
    <w:rsid w:val="0013008D"/>
    <w:rsid w:val="00130991"/>
    <w:rsid w:val="00152125"/>
    <w:rsid w:val="0016687E"/>
    <w:rsid w:val="00167982"/>
    <w:rsid w:val="00167CB7"/>
    <w:rsid w:val="00170E22"/>
    <w:rsid w:val="001A0C0A"/>
    <w:rsid w:val="001A5D90"/>
    <w:rsid w:val="001C0AD6"/>
    <w:rsid w:val="001C2DA2"/>
    <w:rsid w:val="001E1D55"/>
    <w:rsid w:val="001F301E"/>
    <w:rsid w:val="00202DE4"/>
    <w:rsid w:val="00220EA7"/>
    <w:rsid w:val="0022520C"/>
    <w:rsid w:val="00275154"/>
    <w:rsid w:val="002756DB"/>
    <w:rsid w:val="002D7909"/>
    <w:rsid w:val="002E394D"/>
    <w:rsid w:val="002F0EB8"/>
    <w:rsid w:val="002F45EF"/>
    <w:rsid w:val="00314D75"/>
    <w:rsid w:val="00332900"/>
    <w:rsid w:val="00335FD3"/>
    <w:rsid w:val="00336266"/>
    <w:rsid w:val="003435E6"/>
    <w:rsid w:val="00357298"/>
    <w:rsid w:val="00374971"/>
    <w:rsid w:val="00377ACB"/>
    <w:rsid w:val="003A01F8"/>
    <w:rsid w:val="003A4EF3"/>
    <w:rsid w:val="003B4260"/>
    <w:rsid w:val="003B5FA9"/>
    <w:rsid w:val="003B75E6"/>
    <w:rsid w:val="003C5873"/>
    <w:rsid w:val="003E332F"/>
    <w:rsid w:val="003F71C8"/>
    <w:rsid w:val="0045433B"/>
    <w:rsid w:val="00460C85"/>
    <w:rsid w:val="004748FD"/>
    <w:rsid w:val="00475BB2"/>
    <w:rsid w:val="00482C27"/>
    <w:rsid w:val="00487E6A"/>
    <w:rsid w:val="004C0729"/>
    <w:rsid w:val="004D345D"/>
    <w:rsid w:val="004E35DF"/>
    <w:rsid w:val="00503AAE"/>
    <w:rsid w:val="0054030C"/>
    <w:rsid w:val="005420B2"/>
    <w:rsid w:val="00564B31"/>
    <w:rsid w:val="0056644D"/>
    <w:rsid w:val="00576CBD"/>
    <w:rsid w:val="00583ED5"/>
    <w:rsid w:val="0059265E"/>
    <w:rsid w:val="00595F6A"/>
    <w:rsid w:val="005A6FF3"/>
    <w:rsid w:val="005B2058"/>
    <w:rsid w:val="005B5EF1"/>
    <w:rsid w:val="005C0F91"/>
    <w:rsid w:val="005C7D8F"/>
    <w:rsid w:val="005D0BD2"/>
    <w:rsid w:val="005D2750"/>
    <w:rsid w:val="005D42EC"/>
    <w:rsid w:val="005E21E1"/>
    <w:rsid w:val="005E574A"/>
    <w:rsid w:val="005F6785"/>
    <w:rsid w:val="006027DE"/>
    <w:rsid w:val="00602B10"/>
    <w:rsid w:val="0060779A"/>
    <w:rsid w:val="00615111"/>
    <w:rsid w:val="00617CB7"/>
    <w:rsid w:val="0062511A"/>
    <w:rsid w:val="006322E2"/>
    <w:rsid w:val="00633083"/>
    <w:rsid w:val="00663537"/>
    <w:rsid w:val="0066434B"/>
    <w:rsid w:val="00673B76"/>
    <w:rsid w:val="00676A94"/>
    <w:rsid w:val="00676C35"/>
    <w:rsid w:val="006A41DF"/>
    <w:rsid w:val="006A5C37"/>
    <w:rsid w:val="006B440B"/>
    <w:rsid w:val="007068D8"/>
    <w:rsid w:val="00716E1A"/>
    <w:rsid w:val="00742A2C"/>
    <w:rsid w:val="007462C9"/>
    <w:rsid w:val="00747E2D"/>
    <w:rsid w:val="007500A0"/>
    <w:rsid w:val="00763CFC"/>
    <w:rsid w:val="00766E45"/>
    <w:rsid w:val="00774243"/>
    <w:rsid w:val="007745FA"/>
    <w:rsid w:val="00780DDC"/>
    <w:rsid w:val="00782084"/>
    <w:rsid w:val="00784D58"/>
    <w:rsid w:val="00786E70"/>
    <w:rsid w:val="007C267A"/>
    <w:rsid w:val="007D09BE"/>
    <w:rsid w:val="008132A9"/>
    <w:rsid w:val="00820AA3"/>
    <w:rsid w:val="00821D57"/>
    <w:rsid w:val="00825D0C"/>
    <w:rsid w:val="008604FF"/>
    <w:rsid w:val="00874E8A"/>
    <w:rsid w:val="008831B1"/>
    <w:rsid w:val="00896BAB"/>
    <w:rsid w:val="008A4B53"/>
    <w:rsid w:val="008D17F3"/>
    <w:rsid w:val="008F0204"/>
    <w:rsid w:val="008F67DF"/>
    <w:rsid w:val="00906C70"/>
    <w:rsid w:val="00925BBC"/>
    <w:rsid w:val="0092622A"/>
    <w:rsid w:val="0093571E"/>
    <w:rsid w:val="009400B2"/>
    <w:rsid w:val="00954103"/>
    <w:rsid w:val="00957015"/>
    <w:rsid w:val="00957168"/>
    <w:rsid w:val="009A5882"/>
    <w:rsid w:val="009A5B72"/>
    <w:rsid w:val="009B7FE8"/>
    <w:rsid w:val="009D13D6"/>
    <w:rsid w:val="009E6174"/>
    <w:rsid w:val="009F6E9C"/>
    <w:rsid w:val="00A11C6A"/>
    <w:rsid w:val="00A2492F"/>
    <w:rsid w:val="00A25D74"/>
    <w:rsid w:val="00A31F10"/>
    <w:rsid w:val="00A42EE9"/>
    <w:rsid w:val="00A55A0D"/>
    <w:rsid w:val="00A86EB6"/>
    <w:rsid w:val="00A914F9"/>
    <w:rsid w:val="00A96B5A"/>
    <w:rsid w:val="00A96B7C"/>
    <w:rsid w:val="00AB1D60"/>
    <w:rsid w:val="00AD00B3"/>
    <w:rsid w:val="00AD5F2E"/>
    <w:rsid w:val="00AD7F85"/>
    <w:rsid w:val="00AE683C"/>
    <w:rsid w:val="00B02200"/>
    <w:rsid w:val="00B16553"/>
    <w:rsid w:val="00B1667B"/>
    <w:rsid w:val="00B168A7"/>
    <w:rsid w:val="00B33B22"/>
    <w:rsid w:val="00B4524B"/>
    <w:rsid w:val="00B53DAB"/>
    <w:rsid w:val="00B6315E"/>
    <w:rsid w:val="00B64114"/>
    <w:rsid w:val="00B775E5"/>
    <w:rsid w:val="00B861C3"/>
    <w:rsid w:val="00B92CB3"/>
    <w:rsid w:val="00B93C8C"/>
    <w:rsid w:val="00BA3EF8"/>
    <w:rsid w:val="00BB256B"/>
    <w:rsid w:val="00BB36A8"/>
    <w:rsid w:val="00BC4BE2"/>
    <w:rsid w:val="00BE15C5"/>
    <w:rsid w:val="00C04168"/>
    <w:rsid w:val="00C135A5"/>
    <w:rsid w:val="00C167B6"/>
    <w:rsid w:val="00C819F1"/>
    <w:rsid w:val="00CB0A87"/>
    <w:rsid w:val="00CB62E1"/>
    <w:rsid w:val="00CD4491"/>
    <w:rsid w:val="00CE0F6B"/>
    <w:rsid w:val="00CF089A"/>
    <w:rsid w:val="00CF4ED6"/>
    <w:rsid w:val="00CF635E"/>
    <w:rsid w:val="00D318AC"/>
    <w:rsid w:val="00D378C5"/>
    <w:rsid w:val="00D41656"/>
    <w:rsid w:val="00D4200C"/>
    <w:rsid w:val="00D539B0"/>
    <w:rsid w:val="00D73F42"/>
    <w:rsid w:val="00D86B2E"/>
    <w:rsid w:val="00DA0F39"/>
    <w:rsid w:val="00DB0CB1"/>
    <w:rsid w:val="00DC6B14"/>
    <w:rsid w:val="00DC7D80"/>
    <w:rsid w:val="00DD157E"/>
    <w:rsid w:val="00DE2C84"/>
    <w:rsid w:val="00E03F36"/>
    <w:rsid w:val="00E10C25"/>
    <w:rsid w:val="00E31CCD"/>
    <w:rsid w:val="00E343EE"/>
    <w:rsid w:val="00E4673A"/>
    <w:rsid w:val="00E523EF"/>
    <w:rsid w:val="00E5475D"/>
    <w:rsid w:val="00E745BC"/>
    <w:rsid w:val="00E85DBB"/>
    <w:rsid w:val="00E977A9"/>
    <w:rsid w:val="00EA27EE"/>
    <w:rsid w:val="00EB7F0F"/>
    <w:rsid w:val="00EE0C37"/>
    <w:rsid w:val="00EE234D"/>
    <w:rsid w:val="00EF074F"/>
    <w:rsid w:val="00F13A5A"/>
    <w:rsid w:val="00F22F14"/>
    <w:rsid w:val="00F24451"/>
    <w:rsid w:val="00F24B60"/>
    <w:rsid w:val="00F618A2"/>
    <w:rsid w:val="00F63A9A"/>
    <w:rsid w:val="00F70E3E"/>
    <w:rsid w:val="00FA7DAE"/>
    <w:rsid w:val="00FB2C7E"/>
    <w:rsid w:val="00FB4A7B"/>
    <w:rsid w:val="00FC0281"/>
    <w:rsid w:val="00FD3C2E"/>
    <w:rsid w:val="00FE3A81"/>
    <w:rsid w:val="00FE427A"/>
    <w:rsid w:val="00FE5D35"/>
    <w:rsid w:val="00FE7B13"/>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AB8A8"/>
  <w15:docId w15:val="{36374284-66DA-42C1-ABD4-7081EC1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0"/>
    <w:rsid w:val="00DC7D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D8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C7D80"/>
  </w:style>
  <w:style w:type="paragraph" w:styleId="Pidipagina">
    <w:name w:val="footer"/>
    <w:basedOn w:val="Normale"/>
    <w:link w:val="PidipaginaCarattere"/>
    <w:uiPriority w:val="99"/>
    <w:unhideWhenUsed/>
    <w:rsid w:val="00DC7D8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C7D80"/>
  </w:style>
  <w:style w:type="paragraph" w:styleId="Testofumetto">
    <w:name w:val="Balloon Text"/>
    <w:basedOn w:val="Normale"/>
    <w:link w:val="TestofumettoCarattere"/>
    <w:uiPriority w:val="99"/>
    <w:semiHidden/>
    <w:unhideWhenUsed/>
    <w:rsid w:val="00DC7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D80"/>
    <w:rPr>
      <w:rFonts w:ascii="Tahoma" w:hAnsi="Tahoma" w:cs="Tahoma"/>
      <w:sz w:val="16"/>
      <w:szCs w:val="16"/>
    </w:rPr>
  </w:style>
  <w:style w:type="paragraph" w:customStyle="1" w:styleId="Titre1">
    <w:name w:val="Titre1"/>
    <w:basedOn w:val="Normale"/>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e"/>
    <w:link w:val="ChapeauCar"/>
    <w:uiPriority w:val="1"/>
    <w:qFormat/>
    <w:rsid w:val="00DC7D80"/>
    <w:pPr>
      <w:spacing w:after="120" w:line="240" w:lineRule="auto"/>
      <w:contextualSpacing/>
    </w:pPr>
    <w:rPr>
      <w:rFonts w:ascii="Arial" w:hAnsi="Arial" w:cs="Arial"/>
      <w:b/>
      <w:i/>
      <w:color w:val="000000" w:themeColor="text1"/>
    </w:rPr>
  </w:style>
  <w:style w:type="character" w:customStyle="1" w:styleId="TitleCar">
    <w:name w:val="Title Car"/>
    <w:basedOn w:val="Carpredefinitoparagrafo"/>
    <w:link w:val="Titre1"/>
    <w:rsid w:val="00DC7D80"/>
    <w:rPr>
      <w:rFonts w:ascii="Arial" w:hAnsi="Arial" w:cs="Arial"/>
      <w:b/>
      <w:color w:val="003C8A"/>
      <w:sz w:val="36"/>
      <w:szCs w:val="40"/>
    </w:rPr>
  </w:style>
  <w:style w:type="paragraph" w:customStyle="1" w:styleId="Text">
    <w:name w:val="Text"/>
    <w:basedOn w:val="Normale"/>
    <w:link w:val="TextCar"/>
    <w:uiPriority w:val="3"/>
    <w:qFormat/>
    <w:rsid w:val="00DC7D80"/>
    <w:pPr>
      <w:spacing w:after="120" w:line="240" w:lineRule="auto"/>
    </w:pPr>
    <w:rPr>
      <w:rFonts w:ascii="Arial" w:hAnsi="Arial" w:cs="Arial"/>
      <w:color w:val="000000" w:themeColor="text1"/>
    </w:rPr>
  </w:style>
  <w:style w:type="character" w:customStyle="1" w:styleId="ChapeauCar">
    <w:name w:val="Chapeau Car"/>
    <w:basedOn w:val="Carpredefinitoparagrafo"/>
    <w:link w:val="Chapeau"/>
    <w:uiPriority w:val="1"/>
    <w:rsid w:val="00DC7D80"/>
    <w:rPr>
      <w:rFonts w:ascii="Arial" w:hAnsi="Arial" w:cs="Arial"/>
      <w:b/>
      <w:i/>
      <w:color w:val="000000" w:themeColor="text1"/>
      <w:lang w:val="fr-FR"/>
    </w:rPr>
  </w:style>
  <w:style w:type="paragraph" w:customStyle="1" w:styleId="Sous-titre1">
    <w:name w:val="Sous-titre1"/>
    <w:basedOn w:val="Normale"/>
    <w:link w:val="SubtitleCar"/>
    <w:uiPriority w:val="2"/>
    <w:qFormat/>
    <w:rsid w:val="00DC7D80"/>
    <w:pPr>
      <w:spacing w:after="120" w:line="240" w:lineRule="auto"/>
    </w:pPr>
    <w:rPr>
      <w:rFonts w:ascii="Arial" w:hAnsi="Arial" w:cs="Arial"/>
      <w:b/>
      <w:color w:val="000000" w:themeColor="text1"/>
    </w:rPr>
  </w:style>
  <w:style w:type="character" w:customStyle="1" w:styleId="TextCar">
    <w:name w:val="Text Car"/>
    <w:basedOn w:val="Carpredefinitoparagrafo"/>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style>
  <w:style w:type="character" w:customStyle="1" w:styleId="SubtitleCar">
    <w:name w:val="Subtitle Car"/>
    <w:basedOn w:val="Carpredefinitoparagrafo"/>
    <w:link w:val="Sous-titre1"/>
    <w:uiPriority w:val="2"/>
    <w:rsid w:val="00DC7D80"/>
    <w:rPr>
      <w:rFonts w:ascii="Arial" w:hAnsi="Arial" w:cs="Arial"/>
      <w:b/>
      <w:color w:val="000000" w:themeColor="text1"/>
      <w:lang w:val="fr-FR"/>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fr-FR"/>
    </w:rPr>
  </w:style>
  <w:style w:type="character" w:styleId="Collegamentoipertestuale">
    <w:name w:val="Hyperlink"/>
    <w:basedOn w:val="Carpredefinitoparagrafo"/>
    <w:uiPriority w:val="99"/>
    <w:unhideWhenUsed/>
    <w:rsid w:val="00FB4A7B"/>
    <w:rPr>
      <w:color w:val="0000FF" w:themeColor="hyperlink"/>
      <w:u w:val="single"/>
    </w:rPr>
  </w:style>
  <w:style w:type="paragraph" w:styleId="Citazione">
    <w:name w:val="Quote"/>
    <w:basedOn w:val="Normale"/>
    <w:next w:val="Normale"/>
    <w:link w:val="CitazioneCarattere"/>
    <w:uiPriority w:val="29"/>
    <w:rsid w:val="00FB4A7B"/>
    <w:pPr>
      <w:numPr>
        <w:numId w:val="7"/>
      </w:numPr>
    </w:pPr>
    <w:rPr>
      <w:i/>
      <w:iCs/>
      <w:color w:val="000000" w:themeColor="text1"/>
    </w:rPr>
  </w:style>
  <w:style w:type="character" w:customStyle="1" w:styleId="CitazioneCarattere">
    <w:name w:val="Citazione Carattere"/>
    <w:basedOn w:val="Carpredefinitoparagrafo"/>
    <w:link w:val="Citazione"/>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rPr>
  </w:style>
  <w:style w:type="table" w:styleId="Grigliatabella">
    <w:name w:val="Table Grid"/>
    <w:basedOn w:val="Tabellanormale"/>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zioneCarattere"/>
    <w:link w:val="LgendePhoto"/>
    <w:uiPriority w:val="10"/>
    <w:rsid w:val="00061163"/>
    <w:rPr>
      <w:rFonts w:ascii="Arial" w:hAnsi="Arial" w:cs="Arial"/>
      <w:i/>
      <w:iCs w:val="0"/>
      <w:color w:val="000000" w:themeColor="text1"/>
      <w:sz w:val="18"/>
      <w:szCs w:val="18"/>
    </w:rPr>
  </w:style>
  <w:style w:type="paragraph" w:styleId="Testocommento">
    <w:name w:val="annotation text"/>
    <w:basedOn w:val="Normale"/>
    <w:link w:val="TestocommentoCarattere"/>
    <w:uiPriority w:val="99"/>
    <w:semiHidden/>
    <w:unhideWhenUsed/>
    <w:rsid w:val="00377A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ACB"/>
    <w:rPr>
      <w:sz w:val="20"/>
      <w:szCs w:val="20"/>
    </w:rPr>
  </w:style>
  <w:style w:type="character" w:styleId="Rimandocommento">
    <w:name w:val="annotation reference"/>
    <w:basedOn w:val="Carpredefinitoparagrafo"/>
    <w:uiPriority w:val="99"/>
    <w:semiHidden/>
    <w:unhideWhenUsed/>
    <w:rsid w:val="00377ACB"/>
    <w:rPr>
      <w:sz w:val="16"/>
      <w:szCs w:val="16"/>
    </w:rPr>
  </w:style>
  <w:style w:type="paragraph" w:styleId="Soggettocommento">
    <w:name w:val="annotation subject"/>
    <w:basedOn w:val="Testocommento"/>
    <w:next w:val="Testocommento"/>
    <w:link w:val="SoggettocommentoCarattere"/>
    <w:uiPriority w:val="99"/>
    <w:semiHidden/>
    <w:unhideWhenUsed/>
    <w:rsid w:val="00487E6A"/>
    <w:rPr>
      <w:b/>
      <w:bCs/>
    </w:rPr>
  </w:style>
  <w:style w:type="character" w:customStyle="1" w:styleId="SoggettocommentoCarattere">
    <w:name w:val="Soggetto commento Carattere"/>
    <w:basedOn w:val="TestocommentoCarattere"/>
    <w:link w:val="Soggettocommento"/>
    <w:uiPriority w:val="99"/>
    <w:semiHidden/>
    <w:rsid w:val="00487E6A"/>
    <w:rPr>
      <w:b/>
      <w:bCs/>
      <w:sz w:val="20"/>
      <w:szCs w:val="20"/>
    </w:rPr>
  </w:style>
  <w:style w:type="paragraph" w:styleId="Paragrafoelenco">
    <w:name w:val="List Paragraph"/>
    <w:basedOn w:val="Normale"/>
    <w:uiPriority w:val="34"/>
    <w:rsid w:val="00B168A7"/>
    <w:pPr>
      <w:ind w:left="720"/>
      <w:contextualSpacing/>
    </w:pPr>
  </w:style>
  <w:style w:type="paragraph" w:customStyle="1" w:styleId="Default">
    <w:name w:val="Default"/>
    <w:rsid w:val="008132A9"/>
    <w:pPr>
      <w:autoSpaceDE w:val="0"/>
      <w:autoSpaceDN w:val="0"/>
      <w:adjustRightInd w:val="0"/>
      <w:spacing w:after="0" w:line="240" w:lineRule="auto"/>
    </w:pPr>
    <w:rPr>
      <w:rFonts w:ascii="Source Code Pro" w:hAnsi="Source Code Pro" w:cs="Source Code Pro"/>
      <w:color w:val="000000"/>
      <w:sz w:val="24"/>
      <w:szCs w:val="24"/>
    </w:rPr>
  </w:style>
  <w:style w:type="paragraph" w:customStyle="1" w:styleId="Pa2">
    <w:name w:val="Pa2"/>
    <w:basedOn w:val="Default"/>
    <w:next w:val="Default"/>
    <w:uiPriority w:val="99"/>
    <w:rsid w:val="008132A9"/>
    <w:pPr>
      <w:spacing w:line="241" w:lineRule="atLeast"/>
    </w:pPr>
    <w:rPr>
      <w:rFonts w:cstheme="minorBidi"/>
      <w:color w:val="auto"/>
    </w:rPr>
  </w:style>
  <w:style w:type="character" w:customStyle="1" w:styleId="A2">
    <w:name w:val="A2"/>
    <w:uiPriority w:val="99"/>
    <w:rsid w:val="008132A9"/>
    <w:rPr>
      <w:rFonts w:cs="Source Code Pro"/>
      <w:color w:val="1B1B1A"/>
      <w:sz w:val="18"/>
      <w:szCs w:val="18"/>
    </w:rPr>
  </w:style>
  <w:style w:type="character" w:customStyle="1" w:styleId="A3">
    <w:name w:val="A3"/>
    <w:uiPriority w:val="99"/>
    <w:rsid w:val="008132A9"/>
    <w:rPr>
      <w:rFonts w:cs="Source Code Pro"/>
      <w:b/>
      <w:bCs/>
      <w:color w:val="203982"/>
      <w:sz w:val="22"/>
      <w:szCs w:val="22"/>
    </w:rPr>
  </w:style>
  <w:style w:type="character" w:customStyle="1" w:styleId="A4">
    <w:name w:val="A4"/>
    <w:uiPriority w:val="99"/>
    <w:rsid w:val="008132A9"/>
    <w:rPr>
      <w:rFonts w:cs="Source Code Pro"/>
      <w:color w:val="1B1B1A"/>
      <w:sz w:val="18"/>
      <w:szCs w:val="18"/>
      <w:u w:val="single"/>
    </w:rPr>
  </w:style>
  <w:style w:type="paragraph" w:styleId="Data">
    <w:name w:val="Date"/>
    <w:basedOn w:val="Normale"/>
    <w:next w:val="Normale"/>
    <w:link w:val="DataCarattere"/>
    <w:uiPriority w:val="99"/>
    <w:semiHidden/>
    <w:unhideWhenUsed/>
    <w:rsid w:val="00DD157E"/>
  </w:style>
  <w:style w:type="character" w:customStyle="1" w:styleId="DataCarattere">
    <w:name w:val="Data Carattere"/>
    <w:basedOn w:val="Carpredefinitoparagrafo"/>
    <w:link w:val="Data"/>
    <w:uiPriority w:val="99"/>
    <w:semiHidden/>
    <w:rsid w:val="00DD157E"/>
  </w:style>
  <w:style w:type="character" w:styleId="Collegamentovisitato">
    <w:name w:val="FollowedHyperlink"/>
    <w:basedOn w:val="Carpredefinitoparagrafo"/>
    <w:uiPriority w:val="99"/>
    <w:semiHidden/>
    <w:unhideWhenUsed/>
    <w:rsid w:val="001A5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cemep.eu/working-groups/uninterruptible-power-supplies-up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ocomec.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socomec.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europa.eu/jrc/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a\AppData\Local\Microsoft\Windows\INetCache\Content.Outlook\BMJVUZJX\PRESS-RELEASE---NO-ORDINARY-MODULAR-SYSTEM_PRESS-RELEASE_2019-10_PRR065013_EN-GB.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PRESS-RELEASE---NO-ORDINARY-MODULAR-SYSTEM_PRESS-RELEASE_2019-10_PRR065013_EN-GB.dotx</Template>
  <TotalTime>6</TotalTime>
  <Pages>2</Pages>
  <Words>760</Words>
  <Characters>4332</Characters>
  <Application>Microsoft Office Word</Application>
  <DocSecurity>0</DocSecurity>
  <Lines>36</Lines>
  <Paragraphs>10</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Socomec</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Sargeant</dc:creator>
  <cp:lastModifiedBy>LONGHIN Maria</cp:lastModifiedBy>
  <cp:revision>4</cp:revision>
  <cp:lastPrinted>2019-01-07T16:34:00Z</cp:lastPrinted>
  <dcterms:created xsi:type="dcterms:W3CDTF">2022-09-27T07:14:00Z</dcterms:created>
  <dcterms:modified xsi:type="dcterms:W3CDTF">2022-10-18T10:01:00Z</dcterms:modified>
</cp:coreProperties>
</file>