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1C7A4" w14:textId="77777777" w:rsidR="000A38D7" w:rsidRPr="00BC6E1E" w:rsidRDefault="000A38D7" w:rsidP="001C4EFE">
      <w:pPr>
        <w:pStyle w:val="TitleSub"/>
        <w:rPr>
          <w:rFonts w:ascii="Arial Narrow" w:hAnsi="Arial Narrow"/>
          <w:b w:val="0"/>
          <w:sz w:val="28"/>
        </w:rPr>
      </w:pPr>
      <w:bookmarkStart w:id="0" w:name="_GoBack"/>
      <w:bookmarkEnd w:id="0"/>
      <w:r>
        <w:rPr>
          <w:rFonts w:ascii="Arial Narrow" w:hAnsi="Arial Narrow"/>
          <w:b w:val="0"/>
          <w:sz w:val="28"/>
        </w:rPr>
        <w:t>DANE TECHNICZNE</w:t>
      </w:r>
    </w:p>
    <w:p w14:paraId="17F1C7A5" w14:textId="77777777" w:rsidR="000A38D7" w:rsidRPr="00BC6E1E" w:rsidRDefault="00D45A37" w:rsidP="000A38D7">
      <w:pPr>
        <w:spacing w:before="600"/>
        <w:jc w:val="center"/>
        <w:rPr>
          <w:rFonts w:ascii="Arial Narrow" w:hAnsi="Arial Narrow" w:cs="Arial"/>
          <w:b/>
          <w:sz w:val="22"/>
        </w:rPr>
      </w:pPr>
      <w:r>
        <w:rPr>
          <w:rFonts w:ascii="Arial Narrow" w:hAnsi="Arial Narrow"/>
          <w:b/>
          <w:sz w:val="32"/>
        </w:rPr>
        <w:t>DIRIS B-30</w:t>
      </w:r>
    </w:p>
    <w:p w14:paraId="17F1C7A6" w14:textId="77777777" w:rsidR="000A38D7" w:rsidRPr="00BC6E1E" w:rsidRDefault="000A38D7" w:rsidP="000A38D7">
      <w:pPr>
        <w:pStyle w:val="TitleSub"/>
        <w:rPr>
          <w:rFonts w:ascii="Arial Narrow" w:hAnsi="Arial Narrow"/>
        </w:rPr>
      </w:pPr>
    </w:p>
    <w:p w14:paraId="17F1C7A7" w14:textId="77777777" w:rsidR="000A38D7" w:rsidRPr="00BC6E1E" w:rsidRDefault="00CC28F2" w:rsidP="000A38D7">
      <w:pPr>
        <w:pStyle w:val="TitleSub"/>
        <w:rPr>
          <w:rFonts w:ascii="Arial Narrow" w:hAnsi="Arial Narrow"/>
          <w:sz w:val="24"/>
        </w:rPr>
      </w:pPr>
      <w:r>
        <w:rPr>
          <w:rFonts w:ascii="Arial Narrow" w:hAnsi="Arial Narrow"/>
          <w:sz w:val="28"/>
        </w:rPr>
        <w:t>Urządzenie bezprzewodowe Plug and Play</w:t>
      </w:r>
      <w:r>
        <w:rPr>
          <w:rFonts w:ascii="Arial Narrow" w:hAnsi="Arial Narrow"/>
          <w:sz w:val="28"/>
        </w:rPr>
        <w:br/>
        <w:t>do pomiarów i mierzenia instalacji elektrycznych</w:t>
      </w:r>
    </w:p>
    <w:p w14:paraId="17F1C7A8" w14:textId="77777777" w:rsidR="000A38D7" w:rsidRPr="00BC6E1E" w:rsidRDefault="000A38D7" w:rsidP="000A38D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highlight w:val="green"/>
        </w:rPr>
      </w:pPr>
    </w:p>
    <w:p w14:paraId="17F1C7A9" w14:textId="77777777" w:rsidR="000A38D7" w:rsidRPr="002A7108" w:rsidRDefault="000A38D7" w:rsidP="000A38D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highlight w:val="green"/>
        </w:rPr>
      </w:pPr>
    </w:p>
    <w:p w14:paraId="17F1C7AA" w14:textId="77777777" w:rsidR="00680B63" w:rsidRPr="002A7108" w:rsidRDefault="00680B63" w:rsidP="000A38D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highlight w:val="green"/>
        </w:rPr>
      </w:pPr>
    </w:p>
    <w:p w14:paraId="17F1C7AB" w14:textId="77777777" w:rsidR="00594B0C" w:rsidRPr="00BC6E1E" w:rsidRDefault="00A54BC0" w:rsidP="00A54BC0">
      <w:pPr>
        <w:ind w:firstLine="3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>Cel specyfikacji</w:t>
      </w:r>
    </w:p>
    <w:p w14:paraId="17F1C7AC" w14:textId="77777777" w:rsidR="00A54BC0" w:rsidRPr="00BC6E1E" w:rsidRDefault="00A54BC0" w:rsidP="00A54BC0">
      <w:pPr>
        <w:ind w:firstLine="360"/>
        <w:jc w:val="both"/>
        <w:rPr>
          <w:rFonts w:ascii="Arial Narrow" w:hAnsi="Arial Narrow"/>
          <w:b/>
          <w:sz w:val="24"/>
          <w:szCs w:val="24"/>
        </w:rPr>
      </w:pPr>
    </w:p>
    <w:p w14:paraId="17F1C7AD" w14:textId="77777777" w:rsidR="00A54BC0" w:rsidRPr="00BC6E1E" w:rsidRDefault="00CC28F2" w:rsidP="00A54BC0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Niniejsza specyfikacja opisuje miernik wielofunkcyjny i powiązane z nim czujniki prądu służące do pomiarów i mierzenia instalacji elektrycznych. Szczególnie dobrze nadaje się do zastosowań z izolowanymi punktami pomiarowymi wymagającymi komunikacji RS485 lub bezprzewodowej.</w:t>
      </w:r>
    </w:p>
    <w:p w14:paraId="17F1C7AE" w14:textId="77777777" w:rsidR="00A54BC0" w:rsidRPr="00BC6E1E" w:rsidRDefault="00A54BC0" w:rsidP="00A54BC0">
      <w:pPr>
        <w:jc w:val="both"/>
        <w:rPr>
          <w:rFonts w:ascii="Arial Narrow" w:eastAsia="Calibri" w:hAnsi="Arial Narrow" w:cs="HelveticaNeueLTCom-Lt"/>
        </w:rPr>
      </w:pPr>
    </w:p>
    <w:p w14:paraId="17F1C7AF" w14:textId="77777777" w:rsidR="00A54BC0" w:rsidRPr="00BC6E1E" w:rsidRDefault="00A54BC0" w:rsidP="00A54BC0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Wzorcem technicznym jest SOCOMEC DIRIS B-30 lub podobny i zaakceptowany.</w:t>
      </w:r>
    </w:p>
    <w:p w14:paraId="17F1C7B0" w14:textId="77777777" w:rsidR="00A54BC0" w:rsidRPr="00BC6E1E" w:rsidRDefault="00A54BC0" w:rsidP="00A54BC0">
      <w:pPr>
        <w:jc w:val="both"/>
        <w:rPr>
          <w:rFonts w:ascii="Arial Narrow" w:eastAsia="Calibri" w:hAnsi="Arial Narrow" w:cs="Optima LT Std"/>
          <w:b/>
          <w:bCs/>
          <w:iCs/>
        </w:rPr>
      </w:pPr>
    </w:p>
    <w:p w14:paraId="17F1C7B1" w14:textId="77777777" w:rsidR="00594B0C" w:rsidRPr="00BC6E1E" w:rsidRDefault="00A54BC0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>Cechy ogólne</w:t>
      </w:r>
    </w:p>
    <w:p w14:paraId="17F1C7B2" w14:textId="77777777" w:rsidR="00594B0C" w:rsidRPr="00BC6E1E" w:rsidRDefault="00594B0C" w:rsidP="00A54BC0">
      <w:pPr>
        <w:jc w:val="both"/>
        <w:rPr>
          <w:rFonts w:ascii="Arial Narrow" w:hAnsi="Arial Narrow"/>
          <w:b/>
        </w:rPr>
      </w:pPr>
    </w:p>
    <w:p w14:paraId="17F1C7B3" w14:textId="77777777" w:rsidR="002A6473" w:rsidRPr="00792C75" w:rsidRDefault="00AA4DC8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Urządzenie pomiarowe powinien być niewielkim urządzeniem PMD* w formacie modułowym, zgodnym ze standardem IEC 61557-12.</w:t>
      </w:r>
    </w:p>
    <w:p w14:paraId="17F1C7B4" w14:textId="77777777" w:rsidR="00BA09DC" w:rsidRPr="00792C75" w:rsidRDefault="00BA09DC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17F1C7B5" w14:textId="77777777" w:rsidR="002A6473" w:rsidRPr="00792C75" w:rsidRDefault="00AA4DC8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Powinien zapewniać wszystkie funkcje pomiarów napięcia, prądu, wyjścia, energii i jakości, a także umożliwiać łączną analizę obciążeń jednofazowych i trójfazowych.</w:t>
      </w:r>
    </w:p>
    <w:p w14:paraId="17F1C7B6" w14:textId="77777777" w:rsidR="00AF26D5" w:rsidRPr="00792C75" w:rsidRDefault="00AF26D5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17F1C7B7" w14:textId="77777777" w:rsidR="00AF26D5" w:rsidRPr="00792C75" w:rsidRDefault="00AA4DC8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Jest oparty na systemie Plug &amp; Play z modułami, które można łączyć bez użycia narzędzi. Powinien oferować automatyczne wykrywanie rodzajów sieci, obciążeń roboczych i wartości znamionowych czujników prądu, weryfikację kierunku przepływu prądu, automatyczną konfigurację rodzajów sieci i obciążeń oraz automatyczne adresowanie urządzeń. Jest wyposażony w:</w:t>
      </w:r>
    </w:p>
    <w:p w14:paraId="17F1C7B8" w14:textId="77777777" w:rsidR="00E43B1F" w:rsidRPr="00204ED5" w:rsidRDefault="00E43B1F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17F1C7B9" w14:textId="77777777" w:rsidR="00761852" w:rsidRPr="00204ED5" w:rsidRDefault="00F039B2" w:rsidP="00F039B2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</w:rPr>
      </w:pPr>
      <w:r>
        <w:rPr>
          <w:rFonts w:ascii="Arial Narrow" w:hAnsi="Arial Narrow"/>
          <w:sz w:val="20"/>
        </w:rPr>
        <w:t>4 niezależna wejścia prądu typu RJ12, pozwalające na jednoczesny pomiar maksymalnie 4 obciążeń</w:t>
      </w:r>
    </w:p>
    <w:p w14:paraId="17F1C7BA" w14:textId="77777777" w:rsidR="00F039B2" w:rsidRPr="00204ED5" w:rsidRDefault="00F039B2" w:rsidP="00F039B2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</w:rPr>
      </w:pPr>
      <w:r>
        <w:rPr>
          <w:rFonts w:ascii="Arial Narrow" w:hAnsi="Arial Narrow"/>
          <w:sz w:val="20"/>
        </w:rPr>
        <w:t>zdalny ekran DIRIS D-30 (opcjonalny) do wyświetlania danych pomiarowych.</w:t>
      </w:r>
    </w:p>
    <w:p w14:paraId="17F1C7BB" w14:textId="77777777" w:rsidR="00F039B2" w:rsidRPr="00204ED5" w:rsidRDefault="00F039B2" w:rsidP="00F039B2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</w:rPr>
      </w:pPr>
      <w:r>
        <w:rPr>
          <w:rFonts w:ascii="Arial Narrow" w:hAnsi="Arial Narrow"/>
          <w:sz w:val="20"/>
        </w:rPr>
        <w:t>opcjonalne moduły do zarządzania energią wielu przepływów (elektryczność, woda, gaz, itp.), dodatkowe wejścia i wyjścia i informacje o temperaturze oraz możliwość dodania portów Modbus, BACnet i PROFIBUS.</w:t>
      </w:r>
    </w:p>
    <w:p w14:paraId="17F1C7BC" w14:textId="77777777" w:rsidR="00AC22A8" w:rsidRPr="00204ED5" w:rsidRDefault="00AC22A8" w:rsidP="00AC22A8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17F1C7BD" w14:textId="77777777" w:rsidR="00AC22A8" w:rsidRPr="00AC22A8" w:rsidRDefault="00AC22A8" w:rsidP="00AC22A8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Urządzenie pomiarowe z trzema modułami (54 mm) można zamontować na szynie albo płycie fundamentowej.</w:t>
      </w:r>
    </w:p>
    <w:p w14:paraId="17F1C7BE" w14:textId="77777777" w:rsidR="00F039B2" w:rsidRPr="00792C75" w:rsidRDefault="00F039B2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17F1C7BF" w14:textId="77777777" w:rsidR="00605280" w:rsidRPr="00792C75" w:rsidRDefault="00605280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Dokładność pomiarów jest zapewniana przez połączone urządzenia pomiarowe i czujniki (zgodnie ze standardem IEC 61557-12): klasa 0.5 od 2 do 120% prądu znamionowego (In) przy użyciu czujnika prądu TE.</w:t>
      </w:r>
    </w:p>
    <w:p w14:paraId="17F1C7C0" w14:textId="77777777" w:rsidR="00554DC9" w:rsidRPr="00A54BC0" w:rsidRDefault="00FF6F16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It"/>
          <w:i/>
          <w:sz w:val="18"/>
          <w:szCs w:val="18"/>
        </w:rPr>
      </w:pPr>
      <w:r>
        <w:rPr>
          <w:rFonts w:ascii="Arial Narrow" w:eastAsia="Calibri" w:hAnsi="Arial Narrow" w:cs="HelveticaNeueLTCom-LtIt"/>
          <w:sz w:val="18"/>
        </w:rPr>
        <w:br/>
      </w:r>
      <w:r>
        <w:rPr>
          <w:rFonts w:ascii="Arial Narrow" w:hAnsi="Arial Narrow"/>
          <w:i/>
          <w:sz w:val="18"/>
        </w:rPr>
        <w:t>*PMD: Performance Measuring and monitoring Device — urządzenie mierzące i monitorujące wydajność, zgodnie ze standardem IEC 61557-12.</w:t>
      </w:r>
    </w:p>
    <w:p w14:paraId="17F1C7C1" w14:textId="77777777" w:rsidR="002A6473" w:rsidRPr="00BC6E1E" w:rsidRDefault="002A6473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17F1C7C2" w14:textId="77777777" w:rsidR="000D602B" w:rsidRPr="00BC6E1E" w:rsidRDefault="000D602B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17F1C7C3" w14:textId="77777777" w:rsidR="00605280" w:rsidRPr="00BC6E1E" w:rsidRDefault="00605280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Czujniki prądu stanowią integralną część systemu pomiarowego i z tego względu muszą pochodzić od tego samego dostawcy, co moduły pomiarowe.</w:t>
      </w:r>
    </w:p>
    <w:p w14:paraId="17F1C7C4" w14:textId="77777777" w:rsidR="00605280" w:rsidRPr="00A54BC0" w:rsidRDefault="00605280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17F1C7C5" w14:textId="77777777" w:rsidR="00554846" w:rsidRPr="00A54BC0" w:rsidRDefault="00605280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Umożliwiają one połączenie oraz wolną od ryzyka możliwość przerwania obciążenia do sieci drugorzędnej. </w:t>
      </w:r>
    </w:p>
    <w:p w14:paraId="17F1C7C6" w14:textId="77777777" w:rsidR="00554846" w:rsidRPr="00A54BC0" w:rsidRDefault="00554846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Aby zapobiec ryzyku błędów podczas instalacji, są automatycznie identyfikowane (rodzaj, wartość znamionowa, kierunek prądu) przez urządzenie pomiarowe.</w:t>
      </w:r>
    </w:p>
    <w:p w14:paraId="17F1C7C7" w14:textId="77777777" w:rsidR="00554846" w:rsidRPr="00A54BC0" w:rsidRDefault="00554846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17F1C7C8" w14:textId="77777777" w:rsidR="00554846" w:rsidRPr="00A54BC0" w:rsidRDefault="00554846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Jeżeli w trakcie konfiguracji zostanie wykryty błąd instalacji, automatycznie generowany jest alarm.</w:t>
      </w:r>
    </w:p>
    <w:p w14:paraId="17F1C7C9" w14:textId="77777777" w:rsidR="00554846" w:rsidRPr="00A54BC0" w:rsidRDefault="00554846" w:rsidP="00A54BC0">
      <w:pPr>
        <w:jc w:val="both"/>
        <w:rPr>
          <w:rFonts w:ascii="Arial Narrow" w:eastAsia="Calibri" w:hAnsi="Arial Narrow" w:cs="HelveticaNeueLTCom-Lt"/>
        </w:rPr>
      </w:pPr>
    </w:p>
    <w:p w14:paraId="17F1C7CA" w14:textId="77777777" w:rsidR="00554846" w:rsidRPr="00A54BC0" w:rsidRDefault="000D602B" w:rsidP="000D602B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System pomiarowy powinien być zdolny do adaptacji do dowolnego rodzaju nowych lub istniejących instalacji, przy użyciu czujników sztywnych TE od 5 A do 1000 A, czujników z rdzeniem otwartym TR od 25 A do 600 A i czujników elastycznych od 150 A do 6000 A. </w:t>
      </w:r>
    </w:p>
    <w:p w14:paraId="17F1C7CB" w14:textId="77777777" w:rsidR="00554846" w:rsidRPr="00A54BC0" w:rsidRDefault="00554846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17F1C7CC" w14:textId="77777777" w:rsidR="00554846" w:rsidRPr="00A54BC0" w:rsidRDefault="00554846" w:rsidP="00DC0E8F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lastRenderedPageBreak/>
        <w:t>Aby ułatwić ich integrację, sztywne czujniki prądu TE można zamontować bezpośrednio na wszystkich rodzajach przewodników (przewód, elastyczna lub sztywna szyna magistrali) lub na szynie DIN albo płycie tylnej.</w:t>
      </w:r>
      <w:r>
        <w:rPr>
          <w:rFonts w:ascii="Arial Narrow" w:eastAsia="Calibri" w:hAnsi="Arial Narrow" w:cs="HelveticaNeueLTCom-Lt"/>
        </w:rPr>
        <w:br/>
      </w:r>
    </w:p>
    <w:p w14:paraId="17F1C7CD" w14:textId="77777777" w:rsidR="00554846" w:rsidRPr="00BC6E1E" w:rsidRDefault="00204ED5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Czujniki te można zamontować w linii lub układzie schodkowym, odpowiednio do używanego urządzenia ochronnego.</w:t>
      </w:r>
    </w:p>
    <w:p w14:paraId="17F1C7CE" w14:textId="77777777" w:rsidR="00B03A85" w:rsidRDefault="00B03A85" w:rsidP="00A54BC0">
      <w:pPr>
        <w:jc w:val="both"/>
        <w:rPr>
          <w:rFonts w:ascii="Arial Narrow" w:hAnsi="Arial Narrow"/>
          <w:b/>
        </w:rPr>
      </w:pPr>
    </w:p>
    <w:p w14:paraId="17F1C7CF" w14:textId="77777777" w:rsidR="00594B0C" w:rsidRPr="00A54BC0" w:rsidRDefault="00594B0C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>Konfiguracja</w:t>
      </w:r>
    </w:p>
    <w:p w14:paraId="17F1C7D0" w14:textId="77777777" w:rsidR="00594B0C" w:rsidRPr="00A54BC0" w:rsidRDefault="00594B0C" w:rsidP="00A54BC0">
      <w:pPr>
        <w:jc w:val="both"/>
        <w:rPr>
          <w:rFonts w:ascii="Arial Narrow" w:hAnsi="Arial Narrow"/>
          <w:b/>
        </w:rPr>
      </w:pPr>
    </w:p>
    <w:p w14:paraId="17F1C7D1" w14:textId="77777777" w:rsidR="007D18ED" w:rsidRPr="00BC6E1E" w:rsidRDefault="000D602B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</w:rPr>
      </w:pPr>
      <w:r>
        <w:rPr>
          <w:rFonts w:ascii="Arial Narrow" w:hAnsi="Arial Narrow"/>
        </w:rPr>
        <w:t>System pomiarowy powinien być konfigurowany automatycznie:</w:t>
      </w:r>
    </w:p>
    <w:p w14:paraId="17F1C7D2" w14:textId="77777777" w:rsidR="007D18ED" w:rsidRPr="00A54BC0" w:rsidRDefault="007D18ED" w:rsidP="00A54BC0">
      <w:pPr>
        <w:autoSpaceDE w:val="0"/>
        <w:autoSpaceDN w:val="0"/>
        <w:adjustRightInd w:val="0"/>
        <w:spacing w:after="10"/>
        <w:ind w:left="720"/>
        <w:jc w:val="both"/>
        <w:rPr>
          <w:rFonts w:ascii="Arial Narrow" w:eastAsia="Calibri" w:hAnsi="Arial Narrow" w:cs="HelveticaNeueLTCom-Lt"/>
        </w:rPr>
      </w:pPr>
    </w:p>
    <w:p w14:paraId="17F1C7D3" w14:textId="77777777" w:rsidR="007D18ED" w:rsidRPr="00A54BC0" w:rsidRDefault="005D0122" w:rsidP="000D602B">
      <w:pPr>
        <w:autoSpaceDE w:val="0"/>
        <w:autoSpaceDN w:val="0"/>
        <w:adjustRightInd w:val="0"/>
        <w:rPr>
          <w:rFonts w:ascii="Arial Narrow" w:eastAsia="Calibri" w:hAnsi="Arial Narrow" w:cs="Calibri"/>
          <w:color w:val="000000"/>
        </w:rPr>
      </w:pPr>
      <w:r>
        <w:rPr>
          <w:rFonts w:ascii="Arial Narrow" w:hAnsi="Arial Narrow"/>
        </w:rPr>
        <w:t xml:space="preserve">• </w:t>
      </w:r>
      <w:r>
        <w:rPr>
          <w:rFonts w:ascii="Arial Narrow" w:hAnsi="Arial Narrow"/>
          <w:b/>
        </w:rPr>
        <w:t>Liczba obciążeń</w:t>
      </w:r>
      <w:r>
        <w:rPr>
          <w:rFonts w:ascii="Arial Narrow" w:eastAsia="Calibri" w:hAnsi="Arial Narrow" w:cs="Calibri"/>
          <w:color w:val="000000"/>
        </w:rPr>
        <w:br/>
      </w:r>
      <w:r>
        <w:rPr>
          <w:rFonts w:ascii="Arial Narrow" w:hAnsi="Arial Narrow"/>
        </w:rPr>
        <w:t>Jednocześnie można mierzyć maksymalnie 4 obciążeń, na co pozwalają niezależne wejścia prądu</w:t>
      </w:r>
      <w:r>
        <w:rPr>
          <w:rFonts w:ascii="Arial Narrow" w:hAnsi="Arial Narrow"/>
          <w:color w:val="000000"/>
        </w:rPr>
        <w:t xml:space="preserve">, umożliwiające większą elastyczność w kwestii </w:t>
      </w:r>
      <w:r>
        <w:rPr>
          <w:rFonts w:ascii="Arial Narrow" w:hAnsi="Arial Narrow"/>
        </w:rPr>
        <w:t>montażu w instalacji.</w:t>
      </w:r>
      <w:r>
        <w:rPr>
          <w:rFonts w:ascii="Arial Narrow" w:hAnsi="Arial Narrow"/>
          <w:color w:val="000000"/>
        </w:rPr>
        <w:t xml:space="preserve"> </w:t>
      </w:r>
    </w:p>
    <w:p w14:paraId="17F1C7D4" w14:textId="77777777" w:rsidR="007D18ED" w:rsidRPr="00A54BC0" w:rsidRDefault="007D18ED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</w:p>
    <w:p w14:paraId="17F1C7D5" w14:textId="77777777" w:rsidR="007D18ED" w:rsidRPr="00A54BC0" w:rsidRDefault="005D0122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b/>
          <w:color w:val="000000"/>
        </w:rPr>
      </w:pPr>
      <w:r>
        <w:rPr>
          <w:rFonts w:ascii="Arial Narrow" w:hAnsi="Arial Narrow"/>
          <w:b/>
        </w:rPr>
        <w:t>• Rodzaj obciążeń</w:t>
      </w:r>
    </w:p>
    <w:p w14:paraId="17F1C7D6" w14:textId="77777777" w:rsidR="007D18ED" w:rsidRPr="00A54BC0" w:rsidRDefault="007D18ED" w:rsidP="00EF4F38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  <w:r>
        <w:rPr>
          <w:rFonts w:ascii="Arial Narrow" w:hAnsi="Arial Narrow"/>
          <w:color w:val="000000"/>
        </w:rPr>
        <w:t>Urządzenie pomiarowe pozwala zidentyfikować wszystkie rodzaje obciążeń</w:t>
      </w:r>
      <w:r>
        <w:rPr>
          <w:rFonts w:ascii="Arial Narrow" w:hAnsi="Arial Narrow"/>
        </w:rPr>
        <w:t xml:space="preserve">: jednofazowe, dwufazowe, trójfazowe z przewodem zerowym lub bez niego, używając w tym celu od 1 do 4 czujników do pomiaru obciążeń symetrycznych i niesymetrycznych. </w:t>
      </w:r>
      <w:r>
        <w:rPr>
          <w:rFonts w:ascii="Arial Narrow" w:eastAsia="Calibri" w:hAnsi="Arial Narrow" w:cs="HelveticaNeueLTCom-Lt"/>
        </w:rPr>
        <w:br/>
      </w:r>
    </w:p>
    <w:p w14:paraId="17F1C7D7" w14:textId="77777777" w:rsidR="007D18ED" w:rsidRPr="00A54BC0" w:rsidRDefault="007D18ED" w:rsidP="00A54BC0">
      <w:pPr>
        <w:autoSpaceDE w:val="0"/>
        <w:autoSpaceDN w:val="0"/>
        <w:adjustRightInd w:val="0"/>
        <w:spacing w:after="10"/>
        <w:jc w:val="both"/>
        <w:rPr>
          <w:rFonts w:ascii="Arial Narrow" w:eastAsia="Calibri" w:hAnsi="Arial Narrow" w:cs="Calibri"/>
          <w:color w:val="000000"/>
        </w:rPr>
      </w:pPr>
    </w:p>
    <w:p w14:paraId="17F1C7D8" w14:textId="77777777" w:rsidR="007D18ED" w:rsidRPr="00A54BC0" w:rsidRDefault="005D0122" w:rsidP="00A54BC0">
      <w:pPr>
        <w:autoSpaceDE w:val="0"/>
        <w:autoSpaceDN w:val="0"/>
        <w:adjustRightInd w:val="0"/>
        <w:spacing w:after="10"/>
        <w:jc w:val="both"/>
        <w:rPr>
          <w:rFonts w:ascii="Arial Narrow" w:eastAsia="Calibri" w:hAnsi="Arial Narrow" w:cs="Calibri"/>
          <w:b/>
          <w:color w:val="000000"/>
        </w:rPr>
      </w:pPr>
      <w:r>
        <w:rPr>
          <w:rFonts w:ascii="Arial Narrow" w:hAnsi="Arial Narrow"/>
          <w:b/>
        </w:rPr>
        <w:t xml:space="preserve">• </w:t>
      </w:r>
      <w:r>
        <w:rPr>
          <w:rFonts w:ascii="Arial Narrow" w:hAnsi="Arial Narrow"/>
          <w:b/>
          <w:color w:val="000000"/>
        </w:rPr>
        <w:t xml:space="preserve">Adresowanie komunikacji </w:t>
      </w:r>
    </w:p>
    <w:p w14:paraId="17F1C7D9" w14:textId="77777777" w:rsidR="007D18ED" w:rsidRPr="00A54BC0" w:rsidRDefault="000D602B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Funkcja automatycznego adresowania automatycznie przypisuje adresy Modbus do urządzeń pomiarowych podłączonych za pośrednictwem bramki Ethernet DIRIS G (patrz oddzielna specyfikacja techniczna) lub ekranu centralnego.</w:t>
      </w:r>
    </w:p>
    <w:p w14:paraId="17F1C7DA" w14:textId="77777777" w:rsidR="007D18ED" w:rsidRPr="00A54BC0" w:rsidRDefault="007D18ED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  <w:r>
        <w:rPr>
          <w:rFonts w:ascii="Arial Narrow" w:hAnsi="Arial Narrow"/>
          <w:color w:val="000000"/>
        </w:rPr>
        <w:t>Urządzenia pomiarowe można też skonfigurować za pośrednictwem połączenia USB lub sieci komunikacyjnej (RS485/Ethernet), używając ekranu zdalnego lub oprogramowania konfiguracyjnego.</w:t>
      </w:r>
    </w:p>
    <w:p w14:paraId="17F1C7DB" w14:textId="77777777" w:rsidR="007D18ED" w:rsidRPr="00A54BC0" w:rsidRDefault="007D18ED" w:rsidP="00A54BC0">
      <w:pPr>
        <w:jc w:val="both"/>
        <w:rPr>
          <w:rFonts w:ascii="Arial Narrow" w:hAnsi="Arial Narrow"/>
          <w:b/>
        </w:rPr>
      </w:pPr>
    </w:p>
    <w:p w14:paraId="17F1C7DC" w14:textId="77777777" w:rsidR="001A3B19" w:rsidRPr="00A54BC0" w:rsidRDefault="001A3B19" w:rsidP="00A54BC0">
      <w:pPr>
        <w:jc w:val="both"/>
        <w:rPr>
          <w:rFonts w:ascii="Arial Narrow" w:hAnsi="Arial Narrow"/>
          <w:b/>
        </w:rPr>
      </w:pPr>
    </w:p>
    <w:p w14:paraId="17F1C7DD" w14:textId="77777777" w:rsidR="001A3B19" w:rsidRPr="00BC6E1E" w:rsidRDefault="00782509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>Funkcje i wydajność</w:t>
      </w:r>
    </w:p>
    <w:p w14:paraId="17F1C7DE" w14:textId="77777777" w:rsidR="00680B63" w:rsidRPr="00BC6E1E" w:rsidRDefault="00680B63" w:rsidP="00680B63">
      <w:pPr>
        <w:jc w:val="both"/>
        <w:rPr>
          <w:rFonts w:ascii="Arial Narrow" w:hAnsi="Arial Narrow"/>
          <w:b/>
          <w:sz w:val="24"/>
          <w:szCs w:val="24"/>
        </w:rPr>
      </w:pPr>
    </w:p>
    <w:p w14:paraId="17F1C7DF" w14:textId="77777777" w:rsidR="00680B63" w:rsidRPr="00BC6E1E" w:rsidRDefault="00680B63" w:rsidP="00680B63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W odniesieniu do funkcji system pomiarowy musi spełniać następujące wymogi:</w:t>
      </w:r>
    </w:p>
    <w:p w14:paraId="17F1C7E0" w14:textId="77777777" w:rsidR="006928E7" w:rsidRPr="00A54BC0" w:rsidRDefault="006928E7" w:rsidP="00A54BC0">
      <w:pPr>
        <w:jc w:val="both"/>
        <w:rPr>
          <w:rFonts w:ascii="Arial Narrow" w:hAnsi="Arial Narrow"/>
          <w:b/>
        </w:rPr>
      </w:pPr>
    </w:p>
    <w:p w14:paraId="17F1C7E1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</w:rPr>
      </w:pPr>
      <w:r>
        <w:rPr>
          <w:rFonts w:ascii="Arial Narrow" w:hAnsi="Arial Narrow"/>
        </w:rPr>
        <w:t xml:space="preserve">• </w:t>
      </w:r>
      <w:r>
        <w:rPr>
          <w:rFonts w:ascii="Arial Narrow" w:hAnsi="Arial Narrow"/>
          <w:b/>
        </w:rPr>
        <w:t>Pomiary ogólne</w:t>
      </w:r>
    </w:p>
    <w:p w14:paraId="17F1C7E2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Prąd, częstotliwość, wartości elektryczne napięcia</w:t>
      </w:r>
    </w:p>
    <w:p w14:paraId="17F1C7E3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Moc aktywna, bierna i pozorna, współczynnik mocy, cos phi i tan phi</w:t>
      </w:r>
    </w:p>
    <w:p w14:paraId="17F1C7E4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Działanie w 4 kwadrantach</w:t>
      </w:r>
    </w:p>
    <w:p w14:paraId="17F1C7E5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Moc predykcyjna</w:t>
      </w:r>
    </w:p>
    <w:p w14:paraId="17F1C7E6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Pomiary będą dostępne z następującymi wartościami:</w:t>
      </w:r>
    </w:p>
    <w:p w14:paraId="17F1C7E7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tab/>
      </w:r>
      <w:r>
        <w:rPr>
          <w:rFonts w:ascii="Arial Narrow" w:hAnsi="Arial Narrow"/>
        </w:rPr>
        <w:t>- chwilowe</w:t>
      </w:r>
    </w:p>
    <w:p w14:paraId="17F1C7E8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tab/>
      </w:r>
      <w:r>
        <w:rPr>
          <w:rFonts w:ascii="Arial Narrow" w:hAnsi="Arial Narrow"/>
        </w:rPr>
        <w:t>- chwilowe maksymalne (z sygnaturą czasową)</w:t>
      </w:r>
    </w:p>
    <w:p w14:paraId="17F1C7E9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tab/>
      </w:r>
      <w:r>
        <w:rPr>
          <w:rFonts w:ascii="Arial Narrow" w:hAnsi="Arial Narrow"/>
        </w:rPr>
        <w:t>- chwilowe minimalne (z sygnaturą czasową)</w:t>
      </w:r>
    </w:p>
    <w:p w14:paraId="17F1C7EA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tab/>
      </w:r>
      <w:r>
        <w:rPr>
          <w:rFonts w:ascii="Arial Narrow" w:hAnsi="Arial Narrow"/>
        </w:rPr>
        <w:t>- średnie</w:t>
      </w:r>
    </w:p>
    <w:p w14:paraId="17F1C7EB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tab/>
      </w:r>
      <w:r>
        <w:rPr>
          <w:rFonts w:ascii="Arial Narrow" w:hAnsi="Arial Narrow"/>
        </w:rPr>
        <w:t>- średnie maksymalne (z sygnaturą czasową)</w:t>
      </w:r>
    </w:p>
    <w:p w14:paraId="17F1C7EC" w14:textId="77777777" w:rsidR="00771869" w:rsidRDefault="00771869" w:rsidP="00680B63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  <w:r>
        <w:tab/>
      </w:r>
      <w:r>
        <w:rPr>
          <w:rFonts w:ascii="Arial Narrow" w:hAnsi="Arial Narrow"/>
        </w:rPr>
        <w:t>- średnie minimalne (z sygnaturą czasową)</w:t>
      </w:r>
      <w:r>
        <w:rPr>
          <w:rFonts w:ascii="Arial Narrow" w:eastAsia="Calibri" w:hAnsi="Arial Narrow" w:cs="HelveticaNeueLTCom-Lt"/>
        </w:rPr>
        <w:br/>
      </w:r>
    </w:p>
    <w:p w14:paraId="17F1C7ED" w14:textId="77777777" w:rsidR="00680B63" w:rsidRPr="00BC6E1E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</w:rPr>
      </w:pPr>
      <w:r>
        <w:rPr>
          <w:rFonts w:ascii="Arial Narrow" w:hAnsi="Arial Narrow"/>
        </w:rPr>
        <w:t xml:space="preserve">• </w:t>
      </w:r>
      <w:r>
        <w:rPr>
          <w:rFonts w:ascii="Arial Narrow" w:hAnsi="Arial Narrow"/>
          <w:b/>
        </w:rPr>
        <w:t>Jakość</w:t>
      </w:r>
    </w:p>
    <w:p w14:paraId="17F1C7EE" w14:textId="77777777" w:rsidR="00680B63" w:rsidRDefault="00680B63" w:rsidP="000421D2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Współczynnik THDI i harmoniczne (do rzędu 63) dla napięcia i prądu</w:t>
      </w:r>
    </w:p>
    <w:p w14:paraId="17F1C7EF" w14:textId="77777777" w:rsidR="000421D2" w:rsidRDefault="000421D2" w:rsidP="000421D2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niesymetryczność napięcia i prądu (składniki pośrednie, odwrotne i jednakobiegunowe oraz niesymetryczność)</w:t>
      </w:r>
    </w:p>
    <w:p w14:paraId="17F1C7F0" w14:textId="77777777" w:rsidR="000421D2" w:rsidRPr="00A54BC0" w:rsidRDefault="000421D2" w:rsidP="000421D2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- Wydarzenia zgodne z normą EN 50160 (zapady napięcia, wzrosty i przerwy) </w:t>
      </w:r>
    </w:p>
    <w:p w14:paraId="17F1C7F1" w14:textId="77777777" w:rsidR="00680B63" w:rsidRPr="00A54BC0" w:rsidRDefault="00680B63" w:rsidP="00680B63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Przeciążenia prądowe od 10mS</w:t>
      </w:r>
    </w:p>
    <w:p w14:paraId="17F1C7F2" w14:textId="77777777" w:rsidR="00680B63" w:rsidRPr="00A54BC0" w:rsidRDefault="00680B63" w:rsidP="00680B63">
      <w:pPr>
        <w:jc w:val="both"/>
        <w:rPr>
          <w:rFonts w:ascii="Arial Narrow" w:hAnsi="Arial Narrow"/>
          <w:b/>
          <w:sz w:val="24"/>
          <w:szCs w:val="24"/>
          <w:u w:val="single"/>
        </w:rPr>
      </w:pPr>
    </w:p>
    <w:p w14:paraId="17F1C7F3" w14:textId="77777777" w:rsidR="006127BF" w:rsidRPr="00A54BC0" w:rsidRDefault="006127BF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  <w:b/>
        </w:rPr>
      </w:pPr>
      <w:r>
        <w:rPr>
          <w:rFonts w:ascii="Arial Narrow" w:hAnsi="Arial Narrow"/>
          <w:b/>
        </w:rPr>
        <w:t>• Pomiary</w:t>
      </w:r>
    </w:p>
    <w:p w14:paraId="17F1C7F4" w14:textId="77777777" w:rsidR="006127BF" w:rsidRDefault="006127BF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  <w:r>
        <w:rPr>
          <w:rFonts w:ascii="Arial Narrow" w:hAnsi="Arial Narrow"/>
          <w:color w:val="000000"/>
        </w:rPr>
        <w:t>- Energia aktywna, bierna (ind. i poj.), częściowa i całkowita energia pozorna</w:t>
      </w:r>
    </w:p>
    <w:p w14:paraId="17F1C7F5" w14:textId="77777777" w:rsidR="000421D2" w:rsidRDefault="000421D2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  <w:r>
        <w:rPr>
          <w:rFonts w:ascii="Arial Narrow" w:hAnsi="Arial Narrow"/>
          <w:color w:val="000000"/>
        </w:rPr>
        <w:t>- Krzywe obciążeń (11 dni na wartościach 10-minutowych)</w:t>
      </w:r>
    </w:p>
    <w:p w14:paraId="17F1C7F6" w14:textId="77777777" w:rsidR="00295634" w:rsidRPr="00A54BC0" w:rsidRDefault="00295634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</w:p>
    <w:p w14:paraId="17F1C7F7" w14:textId="77777777" w:rsidR="00295634" w:rsidRPr="00A54BC0" w:rsidRDefault="00295634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  <w:b/>
        </w:rPr>
      </w:pPr>
      <w:r>
        <w:rPr>
          <w:rFonts w:ascii="Arial Narrow" w:hAnsi="Arial Narrow"/>
          <w:b/>
        </w:rPr>
        <w:t>• Alarmy</w:t>
      </w:r>
    </w:p>
    <w:p w14:paraId="17F1C7F8" w14:textId="77777777" w:rsidR="00295634" w:rsidRDefault="000421D2" w:rsidP="000421D2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- 8 alarmów z sygnaturą czasową dla wartości chwilowych lub średnich dla pomiaru elektrycznego</w:t>
      </w:r>
    </w:p>
    <w:p w14:paraId="17F1C7F9" w14:textId="77777777" w:rsidR="000421D2" w:rsidRDefault="000421D2" w:rsidP="000421D2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- 4 alarmy dla zmian stanu wejścia cyfrowego</w:t>
      </w:r>
    </w:p>
    <w:p w14:paraId="17F1C7FA" w14:textId="77777777" w:rsidR="000421D2" w:rsidRDefault="000421D2" w:rsidP="000421D2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Możliwość logicznych kombinacji alarmów</w:t>
      </w:r>
    </w:p>
    <w:p w14:paraId="17F1C7FB" w14:textId="77777777" w:rsidR="000421D2" w:rsidRDefault="000421D2" w:rsidP="000421D2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- Predykcyjny inteligentny alarm utraty obciążenia </w:t>
      </w:r>
    </w:p>
    <w:p w14:paraId="17F1C7FC" w14:textId="77777777" w:rsidR="00C90E6A" w:rsidRPr="000421D2" w:rsidRDefault="00C90E6A" w:rsidP="000421D2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17F1C7FD" w14:textId="77777777" w:rsidR="00295634" w:rsidRDefault="00295634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17F1C7FE" w14:textId="77777777" w:rsidR="003C722C" w:rsidRPr="00A54BC0" w:rsidRDefault="003C722C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17F1C7FF" w14:textId="77777777" w:rsidR="00295634" w:rsidRPr="00A54BC0" w:rsidRDefault="00295634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  <w:b/>
        </w:rPr>
      </w:pPr>
      <w:r>
        <w:rPr>
          <w:rFonts w:ascii="Arial Narrow" w:hAnsi="Arial Narrow"/>
          <w:b/>
        </w:rPr>
        <w:lastRenderedPageBreak/>
        <w:t xml:space="preserve">• Rejestrowanie danych </w:t>
      </w:r>
    </w:p>
    <w:p w14:paraId="17F1C800" w14:textId="77777777" w:rsidR="00295634" w:rsidRPr="00A54BC0" w:rsidRDefault="00295634" w:rsidP="00DC0E8F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- Rejestrowanie średnich wartości elektrycznych (konfigurowalne: U, F, I, P, Q, S, PF, THD) przez okres 7 dni, wartości 10-minutowe </w:t>
      </w:r>
    </w:p>
    <w:p w14:paraId="17F1C801" w14:textId="77777777" w:rsidR="00295634" w:rsidRPr="00A54BC0" w:rsidRDefault="00295634" w:rsidP="00DC0E8F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Rejestrowanie i oznaczanie sygnaturami czasowymi minimalnych i maksymalnych wartości elektrycznych</w:t>
      </w:r>
      <w:r>
        <w:rPr>
          <w:rFonts w:ascii="Arial Narrow" w:eastAsia="Calibri" w:hAnsi="Arial Narrow" w:cs="HelveticaNeueLTCom-Lt"/>
        </w:rPr>
        <w:br/>
      </w:r>
      <w:r>
        <w:rPr>
          <w:rFonts w:ascii="Arial Narrow" w:hAnsi="Arial Narrow"/>
        </w:rPr>
        <w:t>- Archiwizowanie wydarzeń:</w:t>
      </w:r>
    </w:p>
    <w:p w14:paraId="17F1C802" w14:textId="77777777" w:rsidR="00295634" w:rsidRPr="00A54BC0" w:rsidRDefault="00295634" w:rsidP="00DC0E8F">
      <w:pPr>
        <w:pStyle w:val="Paragraphedeliste"/>
        <w:ind w:left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</w:rPr>
        <w:t>- Rejestrowanie wydarzeń i przeciążeń prądowych określonych w normie EN 50160</w:t>
      </w:r>
    </w:p>
    <w:p w14:paraId="17F1C803" w14:textId="77777777" w:rsidR="00295634" w:rsidRPr="00A54BC0" w:rsidRDefault="00295634" w:rsidP="00DC0E8F">
      <w:pPr>
        <w:pStyle w:val="Paragraphedeliste"/>
        <w:ind w:left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</w:rPr>
        <w:t>- Rejestrowanie alarmów pomiarowych</w:t>
      </w:r>
    </w:p>
    <w:p w14:paraId="17F1C804" w14:textId="77777777" w:rsidR="00295634" w:rsidRPr="00A54BC0" w:rsidRDefault="00295634" w:rsidP="00DC0E8F">
      <w:pPr>
        <w:pStyle w:val="Paragraphedeliste"/>
        <w:ind w:left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</w:rPr>
        <w:t>- Rejestrowanie alarmów systemowych</w:t>
      </w:r>
    </w:p>
    <w:p w14:paraId="17F1C805" w14:textId="77777777" w:rsidR="00295634" w:rsidRDefault="00295634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17F1C806" w14:textId="77777777" w:rsidR="00F259EE" w:rsidRPr="00686C13" w:rsidRDefault="00F259EE" w:rsidP="00F259EE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  <w:b/>
        </w:rPr>
      </w:pPr>
      <w:r>
        <w:rPr>
          <w:rFonts w:ascii="Arial Narrow" w:hAnsi="Arial Narrow"/>
          <w:b/>
        </w:rPr>
        <w:t>• Wejścia/wyjścia</w:t>
      </w:r>
    </w:p>
    <w:p w14:paraId="17F1C807" w14:textId="77777777" w:rsidR="00F259EE" w:rsidRPr="00686C13" w:rsidRDefault="00F259EE" w:rsidP="00F259EE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- 2 wejścia logiczne</w:t>
      </w:r>
    </w:p>
    <w:p w14:paraId="17F1C808" w14:textId="77777777" w:rsidR="00F259EE" w:rsidRPr="00686C13" w:rsidRDefault="00F259EE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17F1C809" w14:textId="77777777" w:rsidR="00F259EE" w:rsidRPr="00686C13" w:rsidRDefault="00F259EE" w:rsidP="00F259EE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  <w:b/>
        </w:rPr>
      </w:pPr>
      <w:r>
        <w:rPr>
          <w:rFonts w:ascii="Arial Narrow" w:hAnsi="Arial Narrow"/>
          <w:b/>
        </w:rPr>
        <w:t>• Komunikacja</w:t>
      </w:r>
    </w:p>
    <w:p w14:paraId="17F1C80A" w14:textId="77777777" w:rsidR="00F259EE" w:rsidRPr="00686C13" w:rsidRDefault="00F259EE" w:rsidP="00F259EE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Komunikacja Modbus RS485 (DIRIS B 30 RS)</w:t>
      </w:r>
    </w:p>
    <w:p w14:paraId="17F1C80B" w14:textId="77777777" w:rsidR="00BD4FD0" w:rsidRDefault="0042442B" w:rsidP="00F259EE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Komunikacja radiowa, częstotliwość 868 MHz, zasięg 300 m (DIRIS B-30 RF)</w:t>
      </w:r>
    </w:p>
    <w:p w14:paraId="17F1C80C" w14:textId="77777777" w:rsidR="001256B7" w:rsidRDefault="001256B7" w:rsidP="001256B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Bramka DIRIS G RS485-RF/Ethernet (patrz oddzielna specyfikacja techniczna) ma zintegrowany serwer sieciowy do zastosowań w wielu produktach i pozwala na automatyczną synchronizację czasu.</w:t>
      </w:r>
    </w:p>
    <w:p w14:paraId="17F1C80D" w14:textId="77777777" w:rsidR="001256B7" w:rsidRPr="0014452B" w:rsidRDefault="001256B7" w:rsidP="001256B7">
      <w:pPr>
        <w:jc w:val="both"/>
        <w:rPr>
          <w:rFonts w:ascii="Arial Narrow" w:hAnsi="Arial Narrow"/>
          <w:b/>
        </w:rPr>
      </w:pPr>
    </w:p>
    <w:p w14:paraId="17F1C80E" w14:textId="77777777" w:rsidR="00295634" w:rsidRPr="00BC6E1E" w:rsidRDefault="00295634" w:rsidP="00295634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Pod względem wydajności system musi osiągnąć następujące poziomy dokładności:</w:t>
      </w:r>
    </w:p>
    <w:p w14:paraId="17F1C80F" w14:textId="77777777" w:rsidR="00295634" w:rsidRDefault="00295634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17F1C810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  <w:b/>
        </w:rPr>
      </w:pPr>
      <w:r>
        <w:rPr>
          <w:rFonts w:ascii="Arial Narrow" w:hAnsi="Arial Narrow"/>
          <w:b/>
        </w:rPr>
        <w:t>• Dokładność łańcucha pomiarowego</w:t>
      </w:r>
    </w:p>
    <w:p w14:paraId="17F1C811" w14:textId="77777777" w:rsidR="00771869" w:rsidRPr="00A54BC0" w:rsidRDefault="00771869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Połączenie urządzeń i czujników pomiarowych pozwala na zapewnienie następującej ogólnej dokładności łańcucha pomiarowego w przypadku mocy i energii (kWh):</w:t>
      </w:r>
    </w:p>
    <w:p w14:paraId="17F1C812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</w:p>
    <w:p w14:paraId="17F1C813" w14:textId="77777777" w:rsidR="00771869" w:rsidRPr="00A54BC0" w:rsidRDefault="00771869" w:rsidP="00295634">
      <w:pPr>
        <w:autoSpaceDE w:val="0"/>
        <w:autoSpaceDN w:val="0"/>
        <w:adjustRightInd w:val="0"/>
        <w:rPr>
          <w:rFonts w:ascii="Arial Narrow" w:eastAsia="Calibri" w:hAnsi="Arial Narrow" w:cs="Calibri"/>
          <w:color w:val="000000"/>
        </w:rPr>
      </w:pPr>
      <w:r>
        <w:rPr>
          <w:rFonts w:ascii="Arial Narrow" w:hAnsi="Arial Narrow"/>
          <w:color w:val="000000"/>
        </w:rPr>
        <w:t xml:space="preserve">- </w:t>
      </w:r>
      <w:r>
        <w:rPr>
          <w:rFonts w:ascii="Arial Narrow" w:hAnsi="Arial Narrow"/>
          <w:b/>
          <w:color w:val="000000"/>
        </w:rPr>
        <w:t>Klasa 0.5, zgodnie z normą IEC 61557-12</w:t>
      </w:r>
      <w:r>
        <w:rPr>
          <w:rFonts w:ascii="Arial Narrow" w:hAnsi="Arial Narrow"/>
        </w:rPr>
        <w:t xml:space="preserve"> od 2 do 120% prądu znamionowego dla całego łańcucha pomiarowego (urządzenie pomiarowe + czujniki prądu)</w:t>
      </w:r>
      <w:r>
        <w:rPr>
          <w:rFonts w:ascii="Arial Narrow" w:eastAsia="Calibri" w:hAnsi="Arial Narrow" w:cs="Calibri"/>
          <w:color w:val="000000"/>
        </w:rPr>
        <w:br/>
      </w:r>
    </w:p>
    <w:p w14:paraId="17F1C814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  <w:r>
        <w:rPr>
          <w:rFonts w:ascii="Arial Narrow" w:hAnsi="Arial Narrow"/>
          <w:color w:val="000000"/>
        </w:rPr>
        <w:t xml:space="preserve">- </w:t>
      </w:r>
      <w:r>
        <w:rPr>
          <w:rFonts w:ascii="Arial Narrow" w:hAnsi="Arial Narrow"/>
          <w:b/>
          <w:color w:val="000000"/>
        </w:rPr>
        <w:t xml:space="preserve">Klasa 0.2 zgodnie z normą IEC 61557-12: </w:t>
      </w:r>
      <w:r>
        <w:rPr>
          <w:rFonts w:ascii="Arial Narrow" w:hAnsi="Arial Narrow"/>
          <w:color w:val="000000"/>
        </w:rPr>
        <w:t>Dokładność 0,2% wyłącznie dla urządzenia pomiarowego</w:t>
      </w:r>
    </w:p>
    <w:p w14:paraId="17F1C815" w14:textId="77777777" w:rsidR="00782509" w:rsidRDefault="0078250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</w:p>
    <w:p w14:paraId="17F1C816" w14:textId="77777777" w:rsidR="0014452B" w:rsidRDefault="0014452B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</w:p>
    <w:p w14:paraId="17F1C817" w14:textId="77777777" w:rsidR="0014452B" w:rsidRPr="00A54BC0" w:rsidRDefault="0014452B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</w:p>
    <w:p w14:paraId="17F1C818" w14:textId="77777777" w:rsidR="00885154" w:rsidRPr="00BC6E1E" w:rsidRDefault="00295634" w:rsidP="00295634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>Opcje</w:t>
      </w:r>
    </w:p>
    <w:p w14:paraId="17F1C819" w14:textId="77777777" w:rsidR="008405F6" w:rsidRPr="00BC6E1E" w:rsidRDefault="00295634" w:rsidP="00A54BC0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Ekran zdalny pojedynczego punktu DIRIS D-30 musi mieć następujące cechy:</w:t>
      </w:r>
    </w:p>
    <w:p w14:paraId="17F1C81A" w14:textId="77777777" w:rsidR="00295634" w:rsidRPr="00BC6E1E" w:rsidRDefault="00295634" w:rsidP="00DC0E8F">
      <w:pPr>
        <w:pStyle w:val="Paragraphedeliste"/>
        <w:numPr>
          <w:ilvl w:val="0"/>
          <w:numId w:val="26"/>
        </w:numPr>
        <w:ind w:left="142" w:hanging="14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</w:rPr>
        <w:t>Ekran graficzny o wysokiej rozdzielczości</w:t>
      </w:r>
    </w:p>
    <w:p w14:paraId="17F1C81B" w14:textId="77777777" w:rsidR="00295634" w:rsidRPr="00BC6E1E" w:rsidRDefault="00295634" w:rsidP="00DC0E8F">
      <w:pPr>
        <w:pStyle w:val="Paragraphedeliste"/>
        <w:numPr>
          <w:ilvl w:val="0"/>
          <w:numId w:val="26"/>
        </w:numPr>
        <w:ind w:left="142" w:hanging="14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</w:rPr>
        <w:t>Zasilanie prądem stały 24 V, by zapobiec niebezpiecznemu napięciu na drzwiczkach</w:t>
      </w:r>
    </w:p>
    <w:p w14:paraId="17F1C81C" w14:textId="77777777" w:rsidR="00295634" w:rsidRPr="00BC6E1E" w:rsidRDefault="00295634" w:rsidP="00DC0E8F">
      <w:pPr>
        <w:pStyle w:val="Paragraphedeliste"/>
        <w:numPr>
          <w:ilvl w:val="0"/>
          <w:numId w:val="26"/>
        </w:numPr>
        <w:ind w:left="142" w:hanging="14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</w:rPr>
        <w:t xml:space="preserve">Panel przedni o klasie ochrony IP65 </w:t>
      </w:r>
    </w:p>
    <w:p w14:paraId="17F1C81D" w14:textId="77777777" w:rsidR="00295634" w:rsidRPr="00C90E6A" w:rsidRDefault="00F82189" w:rsidP="00C90E6A">
      <w:pPr>
        <w:pStyle w:val="Paragraphedeliste"/>
        <w:numPr>
          <w:ilvl w:val="0"/>
          <w:numId w:val="26"/>
        </w:numPr>
        <w:ind w:left="142" w:hanging="142"/>
        <w:jc w:val="both"/>
        <w:rPr>
          <w:rFonts w:ascii="Arial Narrow" w:hAnsi="Arial Narrow"/>
          <w:b/>
        </w:rPr>
      </w:pPr>
      <w:r>
        <w:rPr>
          <w:rFonts w:ascii="Arial Narrow" w:hAnsi="Arial Narrow"/>
          <w:sz w:val="20"/>
        </w:rPr>
        <w:t xml:space="preserve">10 kluczy dostępu bezpośredniego do informacji konfiguracyjnych i pomiarowych, </w:t>
      </w:r>
    </w:p>
    <w:p w14:paraId="17F1C81E" w14:textId="77777777" w:rsidR="00C90E6A" w:rsidRPr="00C90E6A" w:rsidRDefault="00C90E6A" w:rsidP="00C90E6A">
      <w:pPr>
        <w:jc w:val="both"/>
        <w:rPr>
          <w:rFonts w:ascii="Arial Narrow" w:hAnsi="Arial Narrow"/>
          <w:b/>
        </w:rPr>
      </w:pPr>
    </w:p>
    <w:p w14:paraId="17F1C81F" w14:textId="77777777" w:rsidR="001256B7" w:rsidRDefault="001256B7" w:rsidP="001256B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Dla urządzenia DIRIS B-30 dostępne są opcjonalne moduły rozszerzające:</w:t>
      </w:r>
    </w:p>
    <w:p w14:paraId="17F1C820" w14:textId="77777777" w:rsidR="00D6456F" w:rsidRPr="003C722C" w:rsidRDefault="001256B7" w:rsidP="001256B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- 2 wejścia cyfrowe/2 wyjścia cyfrowe </w:t>
      </w:r>
    </w:p>
    <w:p w14:paraId="17F1C821" w14:textId="77777777" w:rsidR="00D6456F" w:rsidRPr="003C722C" w:rsidRDefault="00D6456F" w:rsidP="00D6456F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- 2 wejścia analogowe/2 wyjścia analogowe</w:t>
      </w:r>
    </w:p>
    <w:p w14:paraId="17F1C822" w14:textId="77777777" w:rsidR="001256B7" w:rsidRPr="001256B7" w:rsidRDefault="001256B7" w:rsidP="001256B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Pomiar temperatury</w:t>
      </w:r>
    </w:p>
    <w:p w14:paraId="17F1C823" w14:textId="77777777" w:rsidR="001256B7" w:rsidRDefault="0066560E" w:rsidP="001256B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Komunikacja (RS485, Profibus DP, BACnet IP i BACnet MSTP)</w:t>
      </w:r>
    </w:p>
    <w:p w14:paraId="17F1C824" w14:textId="77777777" w:rsidR="00D6456F" w:rsidRDefault="00D6456F" w:rsidP="001256B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Maks. 4 moduły opcjonalne na każde urządzenie DIRIS B-30</w:t>
      </w:r>
    </w:p>
    <w:p w14:paraId="17F1C825" w14:textId="77777777" w:rsidR="001256B7" w:rsidRDefault="001256B7" w:rsidP="001256B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17F1C826" w14:textId="77777777" w:rsidR="001256B7" w:rsidRDefault="001256B7" w:rsidP="001256B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sectPr w:rsidR="001256B7" w:rsidSect="00605280">
      <w:footerReference w:type="default" r:id="rId8"/>
      <w:pgSz w:w="11906" w:h="16838"/>
      <w:pgMar w:top="1418" w:right="1418" w:bottom="567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1C829" w14:textId="77777777" w:rsidR="008323E0" w:rsidRDefault="008323E0" w:rsidP="00605280">
      <w:r>
        <w:separator/>
      </w:r>
    </w:p>
  </w:endnote>
  <w:endnote w:type="continuationSeparator" w:id="0">
    <w:p w14:paraId="17F1C82A" w14:textId="77777777" w:rsidR="008323E0" w:rsidRDefault="008323E0" w:rsidP="0060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Com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Com 45 Lt"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 LT Std">
    <w:altName w:val="Optima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Com-Lt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Com-Md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1C82C" w14:textId="30FD90D8" w:rsidR="00605280" w:rsidRPr="00686C13" w:rsidRDefault="00E57D19" w:rsidP="00705830">
    <w:pPr>
      <w:pStyle w:val="Pieddepage"/>
      <w:pBdr>
        <w:top w:val="thinThickSmallGap" w:sz="24" w:space="1" w:color="622423" w:themeColor="accent2" w:themeShade="7F"/>
      </w:pBdr>
    </w:pPr>
    <w:r>
      <w:rPr>
        <w:rFonts w:asciiTheme="majorHAnsi" w:eastAsiaTheme="majorEastAsia" w:hAnsiTheme="majorHAnsi" w:cstheme="majorBidi"/>
      </w:rPr>
      <w:fldChar w:fldCharType="begin"/>
    </w:r>
    <w:r w:rsidRPr="00686C13">
      <w:rPr>
        <w:rFonts w:asciiTheme="majorHAnsi" w:eastAsiaTheme="majorEastAsia" w:hAnsiTheme="majorHAnsi" w:cstheme="majorBidi"/>
      </w:rPr>
      <w:instrText xml:space="preserve"> FILENAME   \* MERGEFORMAT </w:instrText>
    </w:r>
    <w:r>
      <w:rPr>
        <w:rFonts w:asciiTheme="majorHAnsi" w:eastAsiaTheme="majorEastAsia" w:hAnsiTheme="majorHAnsi" w:cstheme="majorBidi"/>
      </w:rPr>
      <w:fldChar w:fldCharType="separate"/>
    </w:r>
    <w:r w:rsidRPr="00686C13">
      <w:rPr>
        <w:rFonts w:asciiTheme="majorHAnsi" w:eastAsiaTheme="majorEastAsia" w:hAnsiTheme="majorHAnsi" w:cstheme="majorBidi"/>
        <w:noProof/>
      </w:rPr>
      <w:t>DT B30 rev1 FR.docx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/>
      </w:rPr>
      <w:t xml:space="preserve">Strona </w:t>
    </w:r>
    <w:r w:rsidR="00605280">
      <w:rPr>
        <w:rFonts w:asciiTheme="minorHAnsi" w:eastAsiaTheme="minorEastAsia" w:hAnsiTheme="minorHAnsi" w:cstheme="minorBidi"/>
      </w:rPr>
      <w:fldChar w:fldCharType="begin"/>
    </w:r>
    <w:r w:rsidR="00605280" w:rsidRPr="00686C13">
      <w:instrText xml:space="preserve"> PAGE   \* MERGEFORMAT </w:instrText>
    </w:r>
    <w:r w:rsidR="00605280">
      <w:rPr>
        <w:rFonts w:asciiTheme="minorHAnsi" w:eastAsiaTheme="minorEastAsia" w:hAnsiTheme="minorHAnsi" w:cstheme="minorBidi"/>
      </w:rPr>
      <w:fldChar w:fldCharType="separate"/>
    </w:r>
    <w:r w:rsidR="00705830" w:rsidRPr="00705830">
      <w:rPr>
        <w:rFonts w:asciiTheme="majorHAnsi" w:eastAsiaTheme="majorEastAsia" w:hAnsiTheme="majorHAnsi" w:cstheme="majorBidi"/>
        <w:noProof/>
      </w:rPr>
      <w:t>-</w:t>
    </w:r>
    <w:r w:rsidR="00705830">
      <w:rPr>
        <w:noProof/>
      </w:rPr>
      <w:t xml:space="preserve"> 1 -</w:t>
    </w:r>
    <w:r w:rsidR="00605280">
      <w:rPr>
        <w:rFonts w:asciiTheme="majorHAnsi" w:eastAsiaTheme="majorEastAsia" w:hAnsiTheme="majorHAnsi" w:cstheme="majorBidi"/>
        <w:noProof/>
      </w:rPr>
      <w:fldChar w:fldCharType="end"/>
    </w:r>
    <w:r w:rsidR="00CD04D1">
      <w:rPr>
        <w:rFonts w:asciiTheme="majorHAnsi" w:eastAsiaTheme="majorEastAsia" w:hAnsiTheme="majorHAnsi" w:cstheme="majorBidi"/>
        <w:noProof/>
      </w:rPr>
      <w:t xml:space="preserve"> </w:t>
    </w:r>
    <w:r w:rsidR="00705830">
      <w:rPr>
        <w:rFonts w:asciiTheme="majorHAnsi" w:eastAsiaTheme="majorEastAsia" w:hAnsiTheme="majorHAnsi" w:cstheme="majorBidi"/>
        <w:noProof/>
        <w:sz w:val="16"/>
        <w:szCs w:val="16"/>
      </w:rPr>
      <w:t>DNM 15 78371 - Prescription DIRIS B-30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1C827" w14:textId="77777777" w:rsidR="008323E0" w:rsidRDefault="008323E0" w:rsidP="00605280">
      <w:r>
        <w:separator/>
      </w:r>
    </w:p>
  </w:footnote>
  <w:footnote w:type="continuationSeparator" w:id="0">
    <w:p w14:paraId="17F1C828" w14:textId="77777777" w:rsidR="008323E0" w:rsidRDefault="008323E0" w:rsidP="00605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04A"/>
    <w:multiLevelType w:val="hybridMultilevel"/>
    <w:tmpl w:val="39F03C0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04F22"/>
    <w:multiLevelType w:val="hybridMultilevel"/>
    <w:tmpl w:val="202A53BE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516E8"/>
    <w:multiLevelType w:val="hybridMultilevel"/>
    <w:tmpl w:val="FD8EB72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C07D4"/>
    <w:multiLevelType w:val="hybridMultilevel"/>
    <w:tmpl w:val="E61A253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B17AB"/>
    <w:multiLevelType w:val="hybridMultilevel"/>
    <w:tmpl w:val="D8F6D1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62CF7"/>
    <w:multiLevelType w:val="hybridMultilevel"/>
    <w:tmpl w:val="615EECD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42450"/>
    <w:multiLevelType w:val="hybridMultilevel"/>
    <w:tmpl w:val="9378E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3A08BD"/>
    <w:multiLevelType w:val="hybridMultilevel"/>
    <w:tmpl w:val="E1760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6545AA"/>
    <w:multiLevelType w:val="hybridMultilevel"/>
    <w:tmpl w:val="D12E5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C56BD1"/>
    <w:multiLevelType w:val="hybridMultilevel"/>
    <w:tmpl w:val="6BCA91D4"/>
    <w:lvl w:ilvl="0" w:tplc="542CB6AC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72C5F"/>
    <w:multiLevelType w:val="hybridMultilevel"/>
    <w:tmpl w:val="CEA88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98C2250"/>
    <w:multiLevelType w:val="hybridMultilevel"/>
    <w:tmpl w:val="C5909856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702499"/>
    <w:multiLevelType w:val="hybridMultilevel"/>
    <w:tmpl w:val="80EEBBE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CD2E1D"/>
    <w:multiLevelType w:val="hybridMultilevel"/>
    <w:tmpl w:val="8C10D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0D7E7B"/>
    <w:multiLevelType w:val="hybridMultilevel"/>
    <w:tmpl w:val="5512E516"/>
    <w:lvl w:ilvl="0" w:tplc="302C919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4147B1"/>
    <w:multiLevelType w:val="hybridMultilevel"/>
    <w:tmpl w:val="D6A404D8"/>
    <w:lvl w:ilvl="0" w:tplc="25BC1A56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2F4BE0"/>
    <w:multiLevelType w:val="hybridMultilevel"/>
    <w:tmpl w:val="FA58B04C"/>
    <w:lvl w:ilvl="0" w:tplc="37B462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7E18AF"/>
    <w:multiLevelType w:val="hybridMultilevel"/>
    <w:tmpl w:val="4B82401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0104DE"/>
    <w:multiLevelType w:val="hybridMultilevel"/>
    <w:tmpl w:val="1542023A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E3AEC"/>
    <w:multiLevelType w:val="hybridMultilevel"/>
    <w:tmpl w:val="4F9C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99538D"/>
    <w:multiLevelType w:val="hybridMultilevel"/>
    <w:tmpl w:val="400C812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823E4"/>
    <w:multiLevelType w:val="hybridMultilevel"/>
    <w:tmpl w:val="E1B4333C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16337D"/>
    <w:multiLevelType w:val="hybridMultilevel"/>
    <w:tmpl w:val="DACA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674B68"/>
    <w:multiLevelType w:val="hybridMultilevel"/>
    <w:tmpl w:val="2B468612"/>
    <w:lvl w:ilvl="0" w:tplc="C890EC56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B4433D0"/>
    <w:multiLevelType w:val="hybridMultilevel"/>
    <w:tmpl w:val="C0F29F6C"/>
    <w:lvl w:ilvl="0" w:tplc="21B43C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129036">
      <w:numFmt w:val="bullet"/>
      <w:lvlText w:val=""/>
      <w:lvlJc w:val="left"/>
      <w:pPr>
        <w:ind w:left="4320" w:hanging="360"/>
      </w:pPr>
      <w:rPr>
        <w:rFonts w:ascii="Wingdings" w:eastAsia="Calibri" w:hAnsi="Wingdings" w:cs="Times New Roman" w:hint="default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0E09D6"/>
    <w:multiLevelType w:val="hybridMultilevel"/>
    <w:tmpl w:val="EA0EBB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CC38D5"/>
    <w:multiLevelType w:val="hybridMultilevel"/>
    <w:tmpl w:val="C2106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20"/>
  </w:num>
  <w:num w:numId="5">
    <w:abstractNumId w:val="0"/>
  </w:num>
  <w:num w:numId="6">
    <w:abstractNumId w:val="1"/>
  </w:num>
  <w:num w:numId="7">
    <w:abstractNumId w:val="2"/>
  </w:num>
  <w:num w:numId="8">
    <w:abstractNumId w:val="17"/>
  </w:num>
  <w:num w:numId="9">
    <w:abstractNumId w:val="24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5"/>
  </w:num>
  <w:num w:numId="12">
    <w:abstractNumId w:val="11"/>
  </w:num>
  <w:num w:numId="13">
    <w:abstractNumId w:val="4"/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3"/>
  </w:num>
  <w:num w:numId="17">
    <w:abstractNumId w:val="22"/>
  </w:num>
  <w:num w:numId="18">
    <w:abstractNumId w:val="10"/>
  </w:num>
  <w:num w:numId="19">
    <w:abstractNumId w:val="7"/>
  </w:num>
  <w:num w:numId="20">
    <w:abstractNumId w:val="23"/>
  </w:num>
  <w:num w:numId="21">
    <w:abstractNumId w:val="15"/>
  </w:num>
  <w:num w:numId="22">
    <w:abstractNumId w:val="8"/>
  </w:num>
  <w:num w:numId="23">
    <w:abstractNumId w:val="26"/>
  </w:num>
  <w:num w:numId="24">
    <w:abstractNumId w:val="19"/>
  </w:num>
  <w:num w:numId="25">
    <w:abstractNumId w:val="6"/>
  </w:num>
  <w:num w:numId="26">
    <w:abstractNumId w:val="2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924"/>
    <w:rsid w:val="00003623"/>
    <w:rsid w:val="00024DB6"/>
    <w:rsid w:val="00027BB8"/>
    <w:rsid w:val="000402F3"/>
    <w:rsid w:val="000421D2"/>
    <w:rsid w:val="00055D7F"/>
    <w:rsid w:val="000609EF"/>
    <w:rsid w:val="00062B4F"/>
    <w:rsid w:val="00064549"/>
    <w:rsid w:val="00076FF0"/>
    <w:rsid w:val="000846E6"/>
    <w:rsid w:val="000853A1"/>
    <w:rsid w:val="00091CA2"/>
    <w:rsid w:val="00096593"/>
    <w:rsid w:val="000A38D7"/>
    <w:rsid w:val="000A6A37"/>
    <w:rsid w:val="000B2A52"/>
    <w:rsid w:val="000B580A"/>
    <w:rsid w:val="000B5A7C"/>
    <w:rsid w:val="000C4BFE"/>
    <w:rsid w:val="000C502C"/>
    <w:rsid w:val="000C73CB"/>
    <w:rsid w:val="000C7562"/>
    <w:rsid w:val="000D602B"/>
    <w:rsid w:val="000E00AE"/>
    <w:rsid w:val="0010356B"/>
    <w:rsid w:val="001256B7"/>
    <w:rsid w:val="001348DD"/>
    <w:rsid w:val="001410B1"/>
    <w:rsid w:val="0014452B"/>
    <w:rsid w:val="00170FAB"/>
    <w:rsid w:val="0018507A"/>
    <w:rsid w:val="001A0BD6"/>
    <w:rsid w:val="001A3B19"/>
    <w:rsid w:val="001B0D05"/>
    <w:rsid w:val="001C29F8"/>
    <w:rsid w:val="001C305D"/>
    <w:rsid w:val="001C4EFE"/>
    <w:rsid w:val="001C5E1F"/>
    <w:rsid w:val="001C7A65"/>
    <w:rsid w:val="001F42F9"/>
    <w:rsid w:val="00204ED5"/>
    <w:rsid w:val="00214A0A"/>
    <w:rsid w:val="00243BD2"/>
    <w:rsid w:val="00265048"/>
    <w:rsid w:val="00287C0D"/>
    <w:rsid w:val="00295634"/>
    <w:rsid w:val="002A5C54"/>
    <w:rsid w:val="002A6473"/>
    <w:rsid w:val="002A7108"/>
    <w:rsid w:val="002B5878"/>
    <w:rsid w:val="002B7EF8"/>
    <w:rsid w:val="002C4486"/>
    <w:rsid w:val="002C4641"/>
    <w:rsid w:val="002E10C4"/>
    <w:rsid w:val="002E1B53"/>
    <w:rsid w:val="0030464F"/>
    <w:rsid w:val="00353184"/>
    <w:rsid w:val="00373BA3"/>
    <w:rsid w:val="003846D0"/>
    <w:rsid w:val="003977A4"/>
    <w:rsid w:val="003A0E3D"/>
    <w:rsid w:val="003C6034"/>
    <w:rsid w:val="003C722C"/>
    <w:rsid w:val="003D0D94"/>
    <w:rsid w:val="003D56B4"/>
    <w:rsid w:val="003E6B21"/>
    <w:rsid w:val="003F1A8F"/>
    <w:rsid w:val="00411351"/>
    <w:rsid w:val="0042345B"/>
    <w:rsid w:val="0042442B"/>
    <w:rsid w:val="004571BC"/>
    <w:rsid w:val="00466BB0"/>
    <w:rsid w:val="00475A11"/>
    <w:rsid w:val="00491A79"/>
    <w:rsid w:val="004A10EB"/>
    <w:rsid w:val="004C6FEF"/>
    <w:rsid w:val="004D6B19"/>
    <w:rsid w:val="004E6ABA"/>
    <w:rsid w:val="004F38B3"/>
    <w:rsid w:val="00511969"/>
    <w:rsid w:val="00512356"/>
    <w:rsid w:val="0052060B"/>
    <w:rsid w:val="00523DF5"/>
    <w:rsid w:val="005245ED"/>
    <w:rsid w:val="0052793F"/>
    <w:rsid w:val="00532249"/>
    <w:rsid w:val="00534691"/>
    <w:rsid w:val="00537F1A"/>
    <w:rsid w:val="00544A79"/>
    <w:rsid w:val="005473BF"/>
    <w:rsid w:val="00554846"/>
    <w:rsid w:val="00554DC9"/>
    <w:rsid w:val="00571E3B"/>
    <w:rsid w:val="00585C3D"/>
    <w:rsid w:val="005942C0"/>
    <w:rsid w:val="00594A00"/>
    <w:rsid w:val="00594B0C"/>
    <w:rsid w:val="00595B04"/>
    <w:rsid w:val="005A2DC1"/>
    <w:rsid w:val="005A5055"/>
    <w:rsid w:val="005C2D58"/>
    <w:rsid w:val="005D0122"/>
    <w:rsid w:val="005F2CEF"/>
    <w:rsid w:val="00604794"/>
    <w:rsid w:val="00604872"/>
    <w:rsid w:val="00605280"/>
    <w:rsid w:val="006062BC"/>
    <w:rsid w:val="00610183"/>
    <w:rsid w:val="006127BF"/>
    <w:rsid w:val="00632234"/>
    <w:rsid w:val="00653B3C"/>
    <w:rsid w:val="0066560E"/>
    <w:rsid w:val="00675025"/>
    <w:rsid w:val="006764E2"/>
    <w:rsid w:val="00680B63"/>
    <w:rsid w:val="00686C13"/>
    <w:rsid w:val="006928E7"/>
    <w:rsid w:val="0069692F"/>
    <w:rsid w:val="006A3B10"/>
    <w:rsid w:val="006A4CAF"/>
    <w:rsid w:val="006A7AC0"/>
    <w:rsid w:val="006A7D47"/>
    <w:rsid w:val="006C2858"/>
    <w:rsid w:val="006C325B"/>
    <w:rsid w:val="006C4843"/>
    <w:rsid w:val="006D2924"/>
    <w:rsid w:val="006D2FA9"/>
    <w:rsid w:val="006F5DCC"/>
    <w:rsid w:val="00705830"/>
    <w:rsid w:val="00737CEC"/>
    <w:rsid w:val="00751FDB"/>
    <w:rsid w:val="007617B6"/>
    <w:rsid w:val="00761852"/>
    <w:rsid w:val="00771869"/>
    <w:rsid w:val="00782509"/>
    <w:rsid w:val="0078488B"/>
    <w:rsid w:val="00786130"/>
    <w:rsid w:val="00792C75"/>
    <w:rsid w:val="007A0C1A"/>
    <w:rsid w:val="007A3F6E"/>
    <w:rsid w:val="007C37C1"/>
    <w:rsid w:val="007D18ED"/>
    <w:rsid w:val="007D381A"/>
    <w:rsid w:val="007E16B2"/>
    <w:rsid w:val="007E7CC3"/>
    <w:rsid w:val="007F5BF5"/>
    <w:rsid w:val="00804D9D"/>
    <w:rsid w:val="00807856"/>
    <w:rsid w:val="00813B87"/>
    <w:rsid w:val="008323E0"/>
    <w:rsid w:val="008359AE"/>
    <w:rsid w:val="00836922"/>
    <w:rsid w:val="008405F6"/>
    <w:rsid w:val="00861DD2"/>
    <w:rsid w:val="00865E9C"/>
    <w:rsid w:val="00875017"/>
    <w:rsid w:val="008809C4"/>
    <w:rsid w:val="00885154"/>
    <w:rsid w:val="00885978"/>
    <w:rsid w:val="0089266A"/>
    <w:rsid w:val="008D7189"/>
    <w:rsid w:val="008D7876"/>
    <w:rsid w:val="009116A7"/>
    <w:rsid w:val="00912FCF"/>
    <w:rsid w:val="00926AF2"/>
    <w:rsid w:val="00957453"/>
    <w:rsid w:val="0096159B"/>
    <w:rsid w:val="00962D1F"/>
    <w:rsid w:val="00962D81"/>
    <w:rsid w:val="00965BE0"/>
    <w:rsid w:val="0099153E"/>
    <w:rsid w:val="009B3D69"/>
    <w:rsid w:val="009B681B"/>
    <w:rsid w:val="009B6E50"/>
    <w:rsid w:val="009C0A9F"/>
    <w:rsid w:val="009C2759"/>
    <w:rsid w:val="009C6CCD"/>
    <w:rsid w:val="009D5C01"/>
    <w:rsid w:val="009F5BE5"/>
    <w:rsid w:val="00A278DE"/>
    <w:rsid w:val="00A31629"/>
    <w:rsid w:val="00A42AF0"/>
    <w:rsid w:val="00A54BC0"/>
    <w:rsid w:val="00A77925"/>
    <w:rsid w:val="00A840E1"/>
    <w:rsid w:val="00A96AE5"/>
    <w:rsid w:val="00AA4DC8"/>
    <w:rsid w:val="00AC22A8"/>
    <w:rsid w:val="00AC4534"/>
    <w:rsid w:val="00AD26B1"/>
    <w:rsid w:val="00AD3A4C"/>
    <w:rsid w:val="00AF26D5"/>
    <w:rsid w:val="00B03A85"/>
    <w:rsid w:val="00B132EF"/>
    <w:rsid w:val="00B154A2"/>
    <w:rsid w:val="00B15FFF"/>
    <w:rsid w:val="00B22067"/>
    <w:rsid w:val="00B25023"/>
    <w:rsid w:val="00B2693E"/>
    <w:rsid w:val="00B36561"/>
    <w:rsid w:val="00B3673E"/>
    <w:rsid w:val="00B5453A"/>
    <w:rsid w:val="00B66547"/>
    <w:rsid w:val="00B70A55"/>
    <w:rsid w:val="00B91EE1"/>
    <w:rsid w:val="00B97A10"/>
    <w:rsid w:val="00BA09DC"/>
    <w:rsid w:val="00BC6E1E"/>
    <w:rsid w:val="00BD4FD0"/>
    <w:rsid w:val="00BF5B59"/>
    <w:rsid w:val="00BF6AE4"/>
    <w:rsid w:val="00C131B1"/>
    <w:rsid w:val="00C16E7F"/>
    <w:rsid w:val="00C17850"/>
    <w:rsid w:val="00C34EF9"/>
    <w:rsid w:val="00C762DF"/>
    <w:rsid w:val="00C82D75"/>
    <w:rsid w:val="00C83E81"/>
    <w:rsid w:val="00C90E6A"/>
    <w:rsid w:val="00C973B8"/>
    <w:rsid w:val="00CA07E9"/>
    <w:rsid w:val="00CA0BAF"/>
    <w:rsid w:val="00CA7C6E"/>
    <w:rsid w:val="00CB18E5"/>
    <w:rsid w:val="00CB4563"/>
    <w:rsid w:val="00CC28F2"/>
    <w:rsid w:val="00CD04D1"/>
    <w:rsid w:val="00CD1ABB"/>
    <w:rsid w:val="00D06154"/>
    <w:rsid w:val="00D1232A"/>
    <w:rsid w:val="00D14153"/>
    <w:rsid w:val="00D168BE"/>
    <w:rsid w:val="00D34253"/>
    <w:rsid w:val="00D45A37"/>
    <w:rsid w:val="00D45EEF"/>
    <w:rsid w:val="00D6456F"/>
    <w:rsid w:val="00D65733"/>
    <w:rsid w:val="00D97451"/>
    <w:rsid w:val="00DB48B0"/>
    <w:rsid w:val="00DC0E8F"/>
    <w:rsid w:val="00DD2DF1"/>
    <w:rsid w:val="00DD321B"/>
    <w:rsid w:val="00DD38F9"/>
    <w:rsid w:val="00DE4E87"/>
    <w:rsid w:val="00E16D7F"/>
    <w:rsid w:val="00E43B1F"/>
    <w:rsid w:val="00E51CE6"/>
    <w:rsid w:val="00E57D19"/>
    <w:rsid w:val="00E60062"/>
    <w:rsid w:val="00E762F9"/>
    <w:rsid w:val="00E800BC"/>
    <w:rsid w:val="00E82B30"/>
    <w:rsid w:val="00E917D4"/>
    <w:rsid w:val="00EA1B1E"/>
    <w:rsid w:val="00EA2201"/>
    <w:rsid w:val="00EA4033"/>
    <w:rsid w:val="00EC63A8"/>
    <w:rsid w:val="00EC75E0"/>
    <w:rsid w:val="00EE556E"/>
    <w:rsid w:val="00EF4F38"/>
    <w:rsid w:val="00F032D3"/>
    <w:rsid w:val="00F039B2"/>
    <w:rsid w:val="00F259EE"/>
    <w:rsid w:val="00F3143F"/>
    <w:rsid w:val="00F42CF9"/>
    <w:rsid w:val="00F4309E"/>
    <w:rsid w:val="00F53766"/>
    <w:rsid w:val="00F63CA9"/>
    <w:rsid w:val="00F82189"/>
    <w:rsid w:val="00F83007"/>
    <w:rsid w:val="00F945D8"/>
    <w:rsid w:val="00F94B0A"/>
    <w:rsid w:val="00FC3039"/>
    <w:rsid w:val="00FF6F16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C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pl-P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24"/>
    <w:rPr>
      <w:rFonts w:ascii="Times New Roman" w:eastAsia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800BC"/>
    <w:pPr>
      <w:autoSpaceDE w:val="0"/>
      <w:autoSpaceDN w:val="0"/>
      <w:adjustRightInd w:val="0"/>
    </w:pPr>
    <w:rPr>
      <w:rFonts w:ascii="HelveticaNeueLT Com 45 Lt" w:hAnsi="HelveticaNeueLT Com 45 Lt" w:cs="HelveticaNeueLT Com 45 Lt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62D1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itleSub">
    <w:name w:val="TitleSub"/>
    <w:basedOn w:val="Titre"/>
    <w:rsid w:val="000A38D7"/>
    <w:pPr>
      <w:spacing w:before="40" w:line="250" w:lineRule="exact"/>
    </w:pPr>
    <w:rPr>
      <w:sz w:val="22"/>
      <w:szCs w:val="22"/>
    </w:rPr>
  </w:style>
  <w:style w:type="paragraph" w:styleId="Titre">
    <w:name w:val="Title"/>
    <w:basedOn w:val="Normal"/>
    <w:link w:val="TitreCar"/>
    <w:qFormat/>
    <w:rsid w:val="000A38D7"/>
    <w:pPr>
      <w:autoSpaceDE w:val="0"/>
      <w:autoSpaceDN w:val="0"/>
      <w:spacing w:before="240" w:after="40" w:line="390" w:lineRule="exact"/>
      <w:jc w:val="center"/>
    </w:pPr>
    <w:rPr>
      <w:rFonts w:ascii="Arial" w:hAnsi="Arial"/>
      <w:b/>
      <w:bCs/>
      <w:kern w:val="28"/>
      <w:sz w:val="36"/>
      <w:szCs w:val="36"/>
    </w:rPr>
  </w:style>
  <w:style w:type="character" w:customStyle="1" w:styleId="TitreCar">
    <w:name w:val="Titre Car"/>
    <w:basedOn w:val="Policepardfaut"/>
    <w:link w:val="Titre"/>
    <w:rsid w:val="000A38D7"/>
    <w:rPr>
      <w:rFonts w:ascii="Arial" w:eastAsia="Times New Roman" w:hAnsi="Arial"/>
      <w:b/>
      <w:bCs/>
      <w:kern w:val="28"/>
      <w:sz w:val="36"/>
      <w:szCs w:val="36"/>
      <w:lang w:val="pl-PL"/>
    </w:rPr>
  </w:style>
  <w:style w:type="paragraph" w:styleId="En-tte">
    <w:name w:val="header"/>
    <w:basedOn w:val="Normal"/>
    <w:link w:val="En-tt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605280"/>
    <w:rPr>
      <w:rFonts w:ascii="Times New Roman" w:eastAsia="Times New Roman" w:hAnsi="Times New Roman"/>
      <w:lang w:val="pl-PL" w:eastAsia="pl-PL"/>
    </w:rPr>
  </w:style>
  <w:style w:type="paragraph" w:styleId="Pieddepage">
    <w:name w:val="footer"/>
    <w:basedOn w:val="Normal"/>
    <w:link w:val="Pieddepag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5280"/>
    <w:rPr>
      <w:rFonts w:ascii="Times New Roman" w:eastAsia="Times New Roman" w:hAnsi="Times New Roman"/>
      <w:lang w:val="pl-PL" w:eastAsia="pl-P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52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280"/>
    <w:rPr>
      <w:rFonts w:ascii="Tahoma" w:eastAsia="Times New Roman" w:hAnsi="Tahoma" w:cs="Tahoma"/>
      <w:sz w:val="16"/>
      <w:szCs w:val="16"/>
      <w:lang w:val="pl-PL" w:eastAsia="pl-PL"/>
    </w:rPr>
  </w:style>
  <w:style w:type="character" w:styleId="Marquedecommentaire">
    <w:name w:val="annotation reference"/>
    <w:basedOn w:val="Policepardfaut"/>
    <w:uiPriority w:val="99"/>
    <w:semiHidden/>
    <w:unhideWhenUsed/>
    <w:rsid w:val="009116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16A7"/>
  </w:style>
  <w:style w:type="character" w:customStyle="1" w:styleId="CommentaireCar">
    <w:name w:val="Commentaire Car"/>
    <w:basedOn w:val="Policepardfaut"/>
    <w:link w:val="Commentaire"/>
    <w:uiPriority w:val="99"/>
    <w:semiHidden/>
    <w:rsid w:val="009116A7"/>
    <w:rPr>
      <w:rFonts w:ascii="Times New Roman" w:eastAsia="Times New Roman" w:hAnsi="Times New Roman"/>
      <w:lang w:val="pl-PL" w:eastAsia="pl-P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16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16A7"/>
    <w:rPr>
      <w:rFonts w:ascii="Times New Roman" w:eastAsia="Times New Roman" w:hAnsi="Times New Roman"/>
      <w:b/>
      <w:bCs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pl-P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24"/>
    <w:rPr>
      <w:rFonts w:ascii="Times New Roman" w:eastAsia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800BC"/>
    <w:pPr>
      <w:autoSpaceDE w:val="0"/>
      <w:autoSpaceDN w:val="0"/>
      <w:adjustRightInd w:val="0"/>
    </w:pPr>
    <w:rPr>
      <w:rFonts w:ascii="HelveticaNeueLT Com 45 Lt" w:hAnsi="HelveticaNeueLT Com 45 Lt" w:cs="HelveticaNeueLT Com 45 Lt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62D1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itleSub">
    <w:name w:val="TitleSub"/>
    <w:basedOn w:val="Titre"/>
    <w:rsid w:val="000A38D7"/>
    <w:pPr>
      <w:spacing w:before="40" w:line="250" w:lineRule="exact"/>
    </w:pPr>
    <w:rPr>
      <w:sz w:val="22"/>
      <w:szCs w:val="22"/>
    </w:rPr>
  </w:style>
  <w:style w:type="paragraph" w:styleId="Titre">
    <w:name w:val="Title"/>
    <w:basedOn w:val="Normal"/>
    <w:link w:val="TitreCar"/>
    <w:qFormat/>
    <w:rsid w:val="000A38D7"/>
    <w:pPr>
      <w:autoSpaceDE w:val="0"/>
      <w:autoSpaceDN w:val="0"/>
      <w:spacing w:before="240" w:after="40" w:line="390" w:lineRule="exact"/>
      <w:jc w:val="center"/>
    </w:pPr>
    <w:rPr>
      <w:rFonts w:ascii="Arial" w:hAnsi="Arial"/>
      <w:b/>
      <w:bCs/>
      <w:kern w:val="28"/>
      <w:sz w:val="36"/>
      <w:szCs w:val="36"/>
    </w:rPr>
  </w:style>
  <w:style w:type="character" w:customStyle="1" w:styleId="TitreCar">
    <w:name w:val="Titre Car"/>
    <w:basedOn w:val="Policepardfaut"/>
    <w:link w:val="Titre"/>
    <w:rsid w:val="000A38D7"/>
    <w:rPr>
      <w:rFonts w:ascii="Arial" w:eastAsia="Times New Roman" w:hAnsi="Arial"/>
      <w:b/>
      <w:bCs/>
      <w:kern w:val="28"/>
      <w:sz w:val="36"/>
      <w:szCs w:val="36"/>
      <w:lang w:val="pl-PL"/>
    </w:rPr>
  </w:style>
  <w:style w:type="paragraph" w:styleId="En-tte">
    <w:name w:val="header"/>
    <w:basedOn w:val="Normal"/>
    <w:link w:val="En-tt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605280"/>
    <w:rPr>
      <w:rFonts w:ascii="Times New Roman" w:eastAsia="Times New Roman" w:hAnsi="Times New Roman"/>
      <w:lang w:val="pl-PL" w:eastAsia="pl-PL"/>
    </w:rPr>
  </w:style>
  <w:style w:type="paragraph" w:styleId="Pieddepage">
    <w:name w:val="footer"/>
    <w:basedOn w:val="Normal"/>
    <w:link w:val="Pieddepag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5280"/>
    <w:rPr>
      <w:rFonts w:ascii="Times New Roman" w:eastAsia="Times New Roman" w:hAnsi="Times New Roman"/>
      <w:lang w:val="pl-PL" w:eastAsia="pl-P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52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280"/>
    <w:rPr>
      <w:rFonts w:ascii="Tahoma" w:eastAsia="Times New Roman" w:hAnsi="Tahoma" w:cs="Tahoma"/>
      <w:sz w:val="16"/>
      <w:szCs w:val="16"/>
      <w:lang w:val="pl-PL" w:eastAsia="pl-PL"/>
    </w:rPr>
  </w:style>
  <w:style w:type="character" w:styleId="Marquedecommentaire">
    <w:name w:val="annotation reference"/>
    <w:basedOn w:val="Policepardfaut"/>
    <w:uiPriority w:val="99"/>
    <w:semiHidden/>
    <w:unhideWhenUsed/>
    <w:rsid w:val="009116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16A7"/>
  </w:style>
  <w:style w:type="character" w:customStyle="1" w:styleId="CommentaireCar">
    <w:name w:val="Commentaire Car"/>
    <w:basedOn w:val="Policepardfaut"/>
    <w:link w:val="Commentaire"/>
    <w:uiPriority w:val="99"/>
    <w:semiHidden/>
    <w:rsid w:val="009116A7"/>
    <w:rPr>
      <w:rFonts w:ascii="Times New Roman" w:eastAsia="Times New Roman" w:hAnsi="Times New Roman"/>
      <w:lang w:val="pl-PL" w:eastAsia="pl-P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16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16A7"/>
    <w:rPr>
      <w:rFonts w:ascii="Times New Roman" w:eastAsia="Times New Roman" w:hAnsi="Times New Roman"/>
      <w:b/>
      <w:bCs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1063</Words>
  <Characters>6062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Socomec</Company>
  <LinksUpToDate>false</LinksUpToDate>
  <CharactersWithSpaces>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DAHURON David</dc:creator>
  <cp:lastModifiedBy>HERR Pierre-Henri</cp:lastModifiedBy>
  <cp:revision>16</cp:revision>
  <cp:lastPrinted>2013-09-17T14:48:00Z</cp:lastPrinted>
  <dcterms:created xsi:type="dcterms:W3CDTF">2014-05-26T12:31:00Z</dcterms:created>
  <dcterms:modified xsi:type="dcterms:W3CDTF">2015-04-28T15:27:00Z</dcterms:modified>
</cp:coreProperties>
</file>