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7880C" w14:textId="77777777" w:rsidR="00E43523" w:rsidRPr="001D6B0F" w:rsidRDefault="00E43523" w:rsidP="0058474A">
      <w:pPr>
        <w:rPr>
          <w:b/>
          <w:color w:val="262626"/>
        </w:rPr>
      </w:pPr>
      <w:r w:rsidRPr="001D6B0F">
        <w:rPr>
          <w:b/>
          <w:bCs/>
          <w:color w:val="003C8A"/>
          <w:sz w:val="40"/>
          <w:szCs w:val="40"/>
        </w:rPr>
        <w:t>A Powerful Partnership: Socomec joins forces with the Data Centre Alliance</w:t>
      </w:r>
      <w:r w:rsidRPr="001D6B0F">
        <w:rPr>
          <w:b/>
          <w:sz w:val="28"/>
          <w:szCs w:val="28"/>
        </w:rPr>
        <w:t xml:space="preserve"> </w:t>
      </w:r>
    </w:p>
    <w:p w14:paraId="0FB7880D" w14:textId="77777777" w:rsidR="002953AD" w:rsidRPr="001D6B0F" w:rsidRDefault="002953AD" w:rsidP="002953AD">
      <w:pPr>
        <w:jc w:val="center"/>
        <w:rPr>
          <w:rStyle w:val="Accentuation"/>
        </w:rPr>
      </w:pPr>
    </w:p>
    <w:p w14:paraId="0FB7880E" w14:textId="77777777" w:rsidR="002953AD" w:rsidRPr="001D6B0F" w:rsidRDefault="002953AD" w:rsidP="002953AD">
      <w:pPr>
        <w:spacing w:after="120"/>
        <w:rPr>
          <w:color w:val="404040"/>
          <w:sz w:val="22"/>
          <w:szCs w:val="22"/>
          <w:lang w:eastAsia="zh-CN"/>
        </w:rPr>
      </w:pPr>
      <w:proofErr w:type="spellStart"/>
      <w:r w:rsidRPr="001D6B0F">
        <w:rPr>
          <w:color w:val="404040"/>
          <w:sz w:val="22"/>
          <w:szCs w:val="22"/>
          <w:lang w:eastAsia="zh-CN"/>
        </w:rPr>
        <w:t>Benfeld</w:t>
      </w:r>
      <w:proofErr w:type="spellEnd"/>
      <w:r w:rsidRPr="001D6B0F">
        <w:rPr>
          <w:color w:val="404040"/>
          <w:sz w:val="22"/>
          <w:szCs w:val="22"/>
          <w:lang w:eastAsia="zh-CN"/>
        </w:rPr>
        <w:t>, 24</w:t>
      </w:r>
      <w:r w:rsidR="00D513C4">
        <w:rPr>
          <w:color w:val="404040"/>
          <w:sz w:val="22"/>
          <w:szCs w:val="22"/>
          <w:lang w:eastAsia="zh-CN"/>
        </w:rPr>
        <w:t>th</w:t>
      </w:r>
      <w:r w:rsidRPr="001D6B0F">
        <w:rPr>
          <w:color w:val="404040"/>
          <w:sz w:val="22"/>
          <w:szCs w:val="22"/>
          <w:lang w:eastAsia="zh-CN"/>
        </w:rPr>
        <w:t xml:space="preserve"> </w:t>
      </w:r>
      <w:r w:rsidR="001D6B0F" w:rsidRPr="001D6B0F">
        <w:rPr>
          <w:color w:val="404040"/>
          <w:sz w:val="22"/>
          <w:szCs w:val="22"/>
          <w:lang w:eastAsia="zh-CN"/>
        </w:rPr>
        <w:t>October</w:t>
      </w:r>
      <w:r w:rsidRPr="001D6B0F">
        <w:rPr>
          <w:color w:val="404040"/>
          <w:sz w:val="22"/>
          <w:szCs w:val="22"/>
          <w:lang w:eastAsia="zh-CN"/>
        </w:rPr>
        <w:t xml:space="preserve"> 2014</w:t>
      </w:r>
    </w:p>
    <w:p w14:paraId="0FB7880F" w14:textId="77777777" w:rsidR="00E43523" w:rsidRPr="001D6B0F" w:rsidRDefault="00E43523" w:rsidP="0058474A">
      <w:pPr>
        <w:rPr>
          <w:b/>
          <w:bCs/>
          <w:color w:val="003C8A"/>
          <w:sz w:val="40"/>
          <w:szCs w:val="36"/>
        </w:rPr>
      </w:pPr>
    </w:p>
    <w:p w14:paraId="0FB78810" w14:textId="77777777" w:rsidR="00E43523" w:rsidRPr="001D6B0F" w:rsidRDefault="00E43523" w:rsidP="0058474A">
      <w:pPr>
        <w:widowControl w:val="0"/>
        <w:tabs>
          <w:tab w:val="left" w:pos="3500"/>
        </w:tabs>
        <w:autoSpaceDE w:val="0"/>
        <w:autoSpaceDN w:val="0"/>
        <w:adjustRightInd w:val="0"/>
        <w:spacing w:before="9"/>
        <w:ind w:right="-20"/>
        <w:rPr>
          <w:b/>
          <w:bCs/>
          <w:i/>
          <w:iCs/>
          <w:color w:val="404040"/>
          <w:sz w:val="22"/>
          <w:szCs w:val="22"/>
        </w:rPr>
      </w:pPr>
      <w:r w:rsidRPr="001D6B0F">
        <w:rPr>
          <w:b/>
          <w:bCs/>
          <w:i/>
          <w:iCs/>
          <w:color w:val="404040"/>
          <w:sz w:val="22"/>
          <w:szCs w:val="22"/>
        </w:rPr>
        <w:t>Leading integrated power solutions provider – Socomec – has joined forces with the Data Centre Alliance (DCA).  Together with this international industry association, Socomec will work to represent the interests of the data centre infrastructure sector in order to address the critical issues of today - and tomorrow.</w:t>
      </w:r>
    </w:p>
    <w:p w14:paraId="0FB78811" w14:textId="77777777" w:rsidR="00E43523" w:rsidRPr="001D6B0F" w:rsidRDefault="00E43523" w:rsidP="0058474A">
      <w:pPr>
        <w:tabs>
          <w:tab w:val="left" w:pos="2100"/>
        </w:tabs>
        <w:jc w:val="both"/>
        <w:rPr>
          <w:rStyle w:val="hps"/>
          <w:rFonts w:eastAsia="Calibri"/>
          <w:color w:val="333333"/>
          <w:sz w:val="18"/>
          <w:szCs w:val="18"/>
        </w:rPr>
      </w:pPr>
    </w:p>
    <w:p w14:paraId="0FB78812" w14:textId="77777777" w:rsidR="00E43523" w:rsidRPr="001D6B0F" w:rsidRDefault="00E43523" w:rsidP="0058474A">
      <w:pPr>
        <w:tabs>
          <w:tab w:val="left" w:pos="2100"/>
        </w:tabs>
        <w:jc w:val="both"/>
        <w:rPr>
          <w:rStyle w:val="hps"/>
          <w:rFonts w:eastAsia="Calibri"/>
          <w:color w:val="333333"/>
          <w:sz w:val="18"/>
          <w:szCs w:val="18"/>
        </w:rPr>
      </w:pPr>
    </w:p>
    <w:p w14:paraId="0FB78813" w14:textId="77777777" w:rsidR="00E43523" w:rsidRPr="001D6B0F" w:rsidRDefault="00E43523" w:rsidP="0058474A">
      <w:pPr>
        <w:rPr>
          <w:color w:val="404040"/>
          <w:sz w:val="22"/>
          <w:szCs w:val="22"/>
        </w:rPr>
      </w:pPr>
      <w:r w:rsidRPr="001D6B0F">
        <w:rPr>
          <w:color w:val="404040"/>
          <w:sz w:val="22"/>
          <w:szCs w:val="22"/>
        </w:rPr>
        <w:t>Digital data is now being created at an unsurpassed rate; the storage and processing needs of today are unparalleled, and growing.  This dramatic change in the way that we capture and use data has propelled those responsible for managing the buildings and facilities that house big data into the corporate spotlight.</w:t>
      </w:r>
    </w:p>
    <w:p w14:paraId="0FB78814" w14:textId="77777777" w:rsidR="00E43523" w:rsidRPr="001D6B0F" w:rsidRDefault="00E43523" w:rsidP="0058474A">
      <w:pPr>
        <w:rPr>
          <w:color w:val="404040"/>
          <w:sz w:val="22"/>
          <w:szCs w:val="22"/>
        </w:rPr>
      </w:pPr>
    </w:p>
    <w:p w14:paraId="0FB78815" w14:textId="77777777" w:rsidR="00E43523" w:rsidRPr="001D6B0F" w:rsidRDefault="00E43523" w:rsidP="0058474A">
      <w:pPr>
        <w:jc w:val="both"/>
        <w:rPr>
          <w:color w:val="404040"/>
          <w:sz w:val="22"/>
          <w:szCs w:val="22"/>
        </w:rPr>
      </w:pPr>
      <w:r w:rsidRPr="001D6B0F">
        <w:rPr>
          <w:color w:val="404040"/>
          <w:sz w:val="22"/>
          <w:szCs w:val="22"/>
        </w:rPr>
        <w:t>Critical buildings and facilities are challenged with constantly evolving demands on energy performance.  The supply of reliable, cost-effective power which can be scaled to meet the rapidly changing demands of a Data Centre is a vital component of the overall performance of the data facility.</w:t>
      </w:r>
    </w:p>
    <w:p w14:paraId="0FB78816" w14:textId="77777777" w:rsidR="00E43523" w:rsidRPr="001D6B0F" w:rsidRDefault="00E43523" w:rsidP="0058474A">
      <w:pPr>
        <w:rPr>
          <w:color w:val="404040"/>
          <w:sz w:val="22"/>
          <w:szCs w:val="22"/>
        </w:rPr>
      </w:pPr>
    </w:p>
    <w:p w14:paraId="0FB78817" w14:textId="77777777" w:rsidR="00E43523" w:rsidRPr="001D6B0F" w:rsidRDefault="00E43523" w:rsidP="0058474A">
      <w:pPr>
        <w:rPr>
          <w:color w:val="404040"/>
          <w:sz w:val="22"/>
          <w:szCs w:val="22"/>
        </w:rPr>
      </w:pPr>
      <w:r w:rsidRPr="001D6B0F">
        <w:rPr>
          <w:color w:val="404040"/>
          <w:sz w:val="22"/>
          <w:szCs w:val="22"/>
        </w:rPr>
        <w:t xml:space="preserve">Furthermore, legislation also demands that buildings and infrastructure are more sustainable throughout their total life. </w:t>
      </w:r>
    </w:p>
    <w:p w14:paraId="0FB78818" w14:textId="77777777" w:rsidR="00E43523" w:rsidRPr="001D6B0F" w:rsidRDefault="00E43523" w:rsidP="0058474A">
      <w:pPr>
        <w:widowControl w:val="0"/>
        <w:tabs>
          <w:tab w:val="left" w:pos="3500"/>
        </w:tabs>
        <w:autoSpaceDE w:val="0"/>
        <w:autoSpaceDN w:val="0"/>
        <w:adjustRightInd w:val="0"/>
        <w:spacing w:before="9"/>
        <w:ind w:right="-20"/>
        <w:rPr>
          <w:color w:val="404040"/>
          <w:sz w:val="22"/>
          <w:szCs w:val="22"/>
        </w:rPr>
      </w:pPr>
    </w:p>
    <w:p w14:paraId="0FB78819" w14:textId="77777777" w:rsidR="00E43523" w:rsidRPr="001D6B0F" w:rsidRDefault="00E43523" w:rsidP="0058474A">
      <w:pPr>
        <w:widowControl w:val="0"/>
        <w:tabs>
          <w:tab w:val="left" w:pos="3500"/>
        </w:tabs>
        <w:autoSpaceDE w:val="0"/>
        <w:autoSpaceDN w:val="0"/>
        <w:adjustRightInd w:val="0"/>
        <w:spacing w:before="9"/>
        <w:ind w:right="-20"/>
        <w:rPr>
          <w:color w:val="404040"/>
          <w:sz w:val="22"/>
          <w:szCs w:val="22"/>
        </w:rPr>
      </w:pPr>
      <w:r w:rsidRPr="001D6B0F">
        <w:rPr>
          <w:color w:val="404040"/>
          <w:sz w:val="22"/>
          <w:szCs w:val="22"/>
        </w:rPr>
        <w:t xml:space="preserve">Andrew Wilkinson, Regional Managing Director, Socomec; “At Socomec, we believe that it’s becoming increasingly important to partner with organizations that truly understand the challenges facing Data Centres and critical buildings. The world in which we live and work is changing rapidly and our clients’ businesses are changing shape as a result, in order to address the most important industry challenges today, the latest product developments require a specialized and inter-disciplinary approach” </w:t>
      </w:r>
    </w:p>
    <w:p w14:paraId="0FB7881A" w14:textId="77777777" w:rsidR="00E43523" w:rsidRPr="001D6B0F" w:rsidRDefault="00E43523" w:rsidP="0058474A">
      <w:pPr>
        <w:widowControl w:val="0"/>
        <w:tabs>
          <w:tab w:val="left" w:pos="3500"/>
        </w:tabs>
        <w:autoSpaceDE w:val="0"/>
        <w:autoSpaceDN w:val="0"/>
        <w:adjustRightInd w:val="0"/>
        <w:spacing w:before="9"/>
        <w:ind w:right="-20"/>
        <w:rPr>
          <w:color w:val="404040"/>
          <w:sz w:val="22"/>
          <w:szCs w:val="22"/>
        </w:rPr>
      </w:pPr>
      <w:r w:rsidRPr="001D6B0F">
        <w:rPr>
          <w:color w:val="404040"/>
          <w:sz w:val="22"/>
          <w:szCs w:val="22"/>
        </w:rPr>
        <w:t xml:space="preserve">  </w:t>
      </w:r>
    </w:p>
    <w:p w14:paraId="0FB7881B" w14:textId="77777777" w:rsidR="00E43523" w:rsidRPr="001D6B0F" w:rsidRDefault="00E43523" w:rsidP="0058474A">
      <w:pPr>
        <w:rPr>
          <w:color w:val="404040"/>
          <w:sz w:val="22"/>
          <w:szCs w:val="22"/>
        </w:rPr>
      </w:pPr>
      <w:r w:rsidRPr="001D6B0F">
        <w:rPr>
          <w:color w:val="404040"/>
          <w:sz w:val="22"/>
          <w:szCs w:val="22"/>
        </w:rPr>
        <w:t xml:space="preserve">As global market leader and integrated power specialists, Socomec, invests heavily in pioneering research and product design in order to deliver world-class innovations that solve our customers’ greatest challenges in terms of energy efficiency, reliability, business continuity as well as Total Cost of Ownership.  Increasingly, we look at new ways to integrate technology from each of our business applications in order to provide systems that optimise efficiency.  </w:t>
      </w:r>
    </w:p>
    <w:p w14:paraId="0FB7881C" w14:textId="77777777" w:rsidR="00E43523" w:rsidRPr="001D6B0F" w:rsidRDefault="00E43523" w:rsidP="0058474A">
      <w:pPr>
        <w:widowControl w:val="0"/>
        <w:tabs>
          <w:tab w:val="left" w:pos="3500"/>
        </w:tabs>
        <w:autoSpaceDE w:val="0"/>
        <w:autoSpaceDN w:val="0"/>
        <w:adjustRightInd w:val="0"/>
        <w:spacing w:before="9"/>
        <w:ind w:right="-20"/>
        <w:rPr>
          <w:color w:val="404040"/>
          <w:sz w:val="22"/>
          <w:szCs w:val="22"/>
        </w:rPr>
      </w:pPr>
    </w:p>
    <w:p w14:paraId="0FB7881D" w14:textId="77777777" w:rsidR="00E43523" w:rsidRPr="001D6B0F" w:rsidRDefault="00E43523" w:rsidP="0058474A">
      <w:pPr>
        <w:widowControl w:val="0"/>
        <w:tabs>
          <w:tab w:val="left" w:pos="3500"/>
        </w:tabs>
        <w:autoSpaceDE w:val="0"/>
        <w:autoSpaceDN w:val="0"/>
        <w:adjustRightInd w:val="0"/>
        <w:spacing w:before="9"/>
        <w:ind w:right="-20"/>
        <w:rPr>
          <w:color w:val="404040"/>
          <w:sz w:val="22"/>
          <w:szCs w:val="22"/>
        </w:rPr>
      </w:pPr>
      <w:r w:rsidRPr="001D6B0F">
        <w:rPr>
          <w:color w:val="404040"/>
          <w:sz w:val="22"/>
          <w:szCs w:val="22"/>
        </w:rPr>
        <w:t>Through our relationship with the DCA and its members, we are excited to play a vital role in driving future innovation for the sector, creating solutions that are engineered to optimise energy performance.”</w:t>
      </w:r>
    </w:p>
    <w:p w14:paraId="0FB7881E" w14:textId="77777777" w:rsidR="00E43523" w:rsidRPr="001D6B0F" w:rsidRDefault="00E43523" w:rsidP="0058474A">
      <w:pPr>
        <w:widowControl w:val="0"/>
        <w:tabs>
          <w:tab w:val="left" w:pos="3500"/>
        </w:tabs>
        <w:autoSpaceDE w:val="0"/>
        <w:autoSpaceDN w:val="0"/>
        <w:adjustRightInd w:val="0"/>
        <w:spacing w:before="9"/>
        <w:ind w:right="-20"/>
        <w:rPr>
          <w:color w:val="404040"/>
          <w:sz w:val="22"/>
          <w:szCs w:val="22"/>
        </w:rPr>
      </w:pPr>
    </w:p>
    <w:p w14:paraId="0FB7881F" w14:textId="77777777" w:rsidR="00E43523" w:rsidRPr="001D6B0F" w:rsidRDefault="00E43523" w:rsidP="00E43523">
      <w:pPr>
        <w:widowControl w:val="0"/>
        <w:tabs>
          <w:tab w:val="left" w:pos="3500"/>
        </w:tabs>
        <w:autoSpaceDE w:val="0"/>
        <w:autoSpaceDN w:val="0"/>
        <w:adjustRightInd w:val="0"/>
        <w:spacing w:before="9"/>
        <w:ind w:right="-20"/>
        <w:rPr>
          <w:color w:val="404040"/>
          <w:sz w:val="22"/>
          <w:szCs w:val="22"/>
        </w:rPr>
      </w:pPr>
      <w:r w:rsidRPr="001D6B0F">
        <w:rPr>
          <w:color w:val="404040"/>
          <w:sz w:val="22"/>
          <w:szCs w:val="22"/>
        </w:rPr>
        <w:t xml:space="preserve">To learn more about </w:t>
      </w:r>
      <w:proofErr w:type="spellStart"/>
      <w:r w:rsidRPr="001D6B0F">
        <w:rPr>
          <w:color w:val="404040"/>
          <w:sz w:val="22"/>
          <w:szCs w:val="22"/>
        </w:rPr>
        <w:t>Socomec’s</w:t>
      </w:r>
      <w:proofErr w:type="spellEnd"/>
      <w:r w:rsidRPr="001D6B0F">
        <w:rPr>
          <w:color w:val="404040"/>
          <w:sz w:val="22"/>
          <w:szCs w:val="22"/>
        </w:rPr>
        <w:t xml:space="preserve"> involvement with the DCA and its range of solutions for Data Centres and critical buildings, please contact Catherine Christmann.</w:t>
      </w:r>
    </w:p>
    <w:p w14:paraId="0FB78820" w14:textId="77777777" w:rsidR="00E43523" w:rsidRPr="001D6B0F" w:rsidRDefault="00E43523" w:rsidP="00E43523">
      <w:pPr>
        <w:widowControl w:val="0"/>
        <w:tabs>
          <w:tab w:val="left" w:pos="3500"/>
        </w:tabs>
        <w:autoSpaceDE w:val="0"/>
        <w:autoSpaceDN w:val="0"/>
        <w:adjustRightInd w:val="0"/>
        <w:spacing w:before="9"/>
        <w:ind w:right="-20"/>
        <w:rPr>
          <w:color w:val="404040"/>
          <w:sz w:val="22"/>
          <w:szCs w:val="22"/>
        </w:rPr>
      </w:pPr>
    </w:p>
    <w:p w14:paraId="0FB78821" w14:textId="77777777" w:rsidR="00E43523" w:rsidRPr="001D6B0F" w:rsidRDefault="00E43523">
      <w:pPr>
        <w:rPr>
          <w:color w:val="404040"/>
          <w:sz w:val="22"/>
          <w:szCs w:val="22"/>
        </w:rPr>
      </w:pPr>
      <w:r w:rsidRPr="001D6B0F">
        <w:rPr>
          <w:color w:val="404040"/>
          <w:sz w:val="22"/>
          <w:szCs w:val="22"/>
        </w:rPr>
        <w:br w:type="page"/>
      </w:r>
    </w:p>
    <w:p w14:paraId="0FB78822" w14:textId="77777777" w:rsidR="00E43523" w:rsidRPr="001D6B0F" w:rsidRDefault="00E43523" w:rsidP="00E43523">
      <w:pPr>
        <w:widowControl w:val="0"/>
        <w:tabs>
          <w:tab w:val="left" w:pos="3500"/>
        </w:tabs>
        <w:autoSpaceDE w:val="0"/>
        <w:autoSpaceDN w:val="0"/>
        <w:adjustRightInd w:val="0"/>
        <w:spacing w:before="9"/>
        <w:ind w:right="-20"/>
        <w:rPr>
          <w:color w:val="404040"/>
          <w:sz w:val="22"/>
          <w:szCs w:val="22"/>
        </w:rPr>
      </w:pPr>
    </w:p>
    <w:tbl>
      <w:tblPr>
        <w:tblW w:w="9180" w:type="dxa"/>
        <w:tblLook w:val="04A0" w:firstRow="1" w:lastRow="0" w:firstColumn="1" w:lastColumn="0" w:noHBand="0" w:noVBand="1"/>
      </w:tblPr>
      <w:tblGrid>
        <w:gridCol w:w="4503"/>
        <w:gridCol w:w="425"/>
        <w:gridCol w:w="4252"/>
      </w:tblGrid>
      <w:tr w:rsidR="00137FDF" w:rsidRPr="001D6B0F" w14:paraId="0FB78824" w14:textId="77777777" w:rsidTr="004176FD">
        <w:tc>
          <w:tcPr>
            <w:tcW w:w="9180" w:type="dxa"/>
            <w:gridSpan w:val="3"/>
            <w:tcBorders>
              <w:bottom w:val="single" w:sz="2" w:space="0" w:color="003C8A"/>
            </w:tcBorders>
            <w:shd w:val="clear" w:color="auto" w:fill="auto"/>
            <w:vAlign w:val="center"/>
          </w:tcPr>
          <w:p w14:paraId="0FB78823" w14:textId="77777777" w:rsidR="00137FDF" w:rsidRPr="001D6B0F" w:rsidRDefault="00137FDF" w:rsidP="004176FD">
            <w:pPr>
              <w:spacing w:after="120"/>
              <w:rPr>
                <w:b/>
                <w:bCs/>
                <w:color w:val="365F91"/>
                <w:sz w:val="22"/>
                <w:szCs w:val="22"/>
              </w:rPr>
            </w:pPr>
          </w:p>
        </w:tc>
      </w:tr>
      <w:tr w:rsidR="003959DA" w:rsidRPr="001D6B0F" w14:paraId="0FB78828" w14:textId="77777777" w:rsidTr="004176FD">
        <w:tc>
          <w:tcPr>
            <w:tcW w:w="4503" w:type="dxa"/>
            <w:tcBorders>
              <w:top w:val="single" w:sz="2" w:space="0" w:color="003C8A"/>
            </w:tcBorders>
            <w:shd w:val="clear" w:color="auto" w:fill="auto"/>
          </w:tcPr>
          <w:p w14:paraId="0FB78825" w14:textId="77777777" w:rsidR="003959DA" w:rsidRPr="001D6B0F" w:rsidRDefault="003959DA" w:rsidP="003544FF">
            <w:pPr>
              <w:spacing w:before="120" w:after="120"/>
              <w:jc w:val="both"/>
              <w:rPr>
                <w:b/>
                <w:bCs/>
                <w:color w:val="003C8A"/>
                <w:sz w:val="21"/>
                <w:szCs w:val="21"/>
              </w:rPr>
            </w:pPr>
            <w:r w:rsidRPr="001D6B0F">
              <w:rPr>
                <w:b/>
                <w:color w:val="003C8A"/>
                <w:sz w:val="21"/>
              </w:rPr>
              <w:t>ABOUT SOCOMEC</w:t>
            </w:r>
          </w:p>
        </w:tc>
        <w:tc>
          <w:tcPr>
            <w:tcW w:w="425" w:type="dxa"/>
            <w:tcBorders>
              <w:top w:val="single" w:sz="2" w:space="0" w:color="003C8A"/>
            </w:tcBorders>
            <w:shd w:val="clear" w:color="auto" w:fill="auto"/>
          </w:tcPr>
          <w:p w14:paraId="0FB78826" w14:textId="77777777" w:rsidR="003959DA" w:rsidRPr="001D6B0F" w:rsidRDefault="003959DA" w:rsidP="003544FF">
            <w:pPr>
              <w:spacing w:before="120" w:after="120"/>
              <w:jc w:val="both"/>
              <w:rPr>
                <w:b/>
                <w:bCs/>
                <w:color w:val="003C8A"/>
                <w:sz w:val="21"/>
                <w:szCs w:val="21"/>
              </w:rPr>
            </w:pPr>
          </w:p>
        </w:tc>
        <w:tc>
          <w:tcPr>
            <w:tcW w:w="4252" w:type="dxa"/>
            <w:tcBorders>
              <w:top w:val="single" w:sz="2" w:space="0" w:color="003C8A"/>
            </w:tcBorders>
            <w:shd w:val="clear" w:color="auto" w:fill="auto"/>
          </w:tcPr>
          <w:p w14:paraId="0FB78827" w14:textId="77777777" w:rsidR="003959DA" w:rsidRPr="001D6B0F" w:rsidRDefault="003959DA" w:rsidP="003544FF">
            <w:pPr>
              <w:spacing w:before="120" w:after="120"/>
              <w:jc w:val="both"/>
              <w:rPr>
                <w:b/>
                <w:bCs/>
                <w:color w:val="003C8A"/>
                <w:sz w:val="21"/>
                <w:szCs w:val="21"/>
              </w:rPr>
            </w:pPr>
            <w:r w:rsidRPr="001D6B0F">
              <w:rPr>
                <w:b/>
                <w:color w:val="003C8A"/>
                <w:sz w:val="21"/>
              </w:rPr>
              <w:t>FOR MORE INFORMATION</w:t>
            </w:r>
          </w:p>
        </w:tc>
      </w:tr>
      <w:tr w:rsidR="003959DA" w:rsidRPr="001D6B0F" w14:paraId="0FB78833" w14:textId="77777777" w:rsidTr="00741E63">
        <w:trPr>
          <w:trHeight w:val="201"/>
        </w:trPr>
        <w:tc>
          <w:tcPr>
            <w:tcW w:w="4503" w:type="dxa"/>
            <w:shd w:val="clear" w:color="auto" w:fill="auto"/>
          </w:tcPr>
          <w:p w14:paraId="0FB78829" w14:textId="752F833D" w:rsidR="003959DA" w:rsidRPr="001D6B0F" w:rsidRDefault="003959DA" w:rsidP="003544FF">
            <w:pPr>
              <w:autoSpaceDE w:val="0"/>
              <w:autoSpaceDN w:val="0"/>
              <w:jc w:val="both"/>
              <w:rPr>
                <w:color w:val="003C8A"/>
                <w:sz w:val="15"/>
                <w:szCs w:val="15"/>
              </w:rPr>
            </w:pPr>
            <w:r w:rsidRPr="001D6B0F">
              <w:rPr>
                <w:color w:val="003C8A"/>
                <w:sz w:val="15"/>
              </w:rPr>
              <w:t>Founded in 1922, SOCOMEC is an industrial group with a workforce of over 3000 people around the world in 21 subsidiaries. Our core business: the availability, control and safety of low voltage electrical networks… with increased focus on our custo</w:t>
            </w:r>
            <w:r w:rsidR="00F77162">
              <w:rPr>
                <w:color w:val="003C8A"/>
                <w:sz w:val="15"/>
              </w:rPr>
              <w:t>mers' power performance. In 2014, SOCOMEC posted turnover of 427</w:t>
            </w:r>
            <w:bookmarkStart w:id="0" w:name="_GoBack"/>
            <w:bookmarkEnd w:id="0"/>
            <w:r w:rsidRPr="001D6B0F">
              <w:rPr>
                <w:color w:val="003C8A"/>
                <w:sz w:val="15"/>
              </w:rPr>
              <w:t xml:space="preserve"> million euros.</w:t>
            </w:r>
          </w:p>
          <w:p w14:paraId="0FB7882A" w14:textId="77777777" w:rsidR="003959DA" w:rsidRPr="001D6B0F" w:rsidRDefault="003959DA" w:rsidP="003544FF">
            <w:pPr>
              <w:autoSpaceDE w:val="0"/>
              <w:autoSpaceDN w:val="0"/>
              <w:rPr>
                <w:color w:val="003C8A"/>
                <w:sz w:val="15"/>
                <w:szCs w:val="15"/>
              </w:rPr>
            </w:pPr>
          </w:p>
          <w:p w14:paraId="0FB7882B" w14:textId="77777777" w:rsidR="003959DA" w:rsidRPr="001D6B0F" w:rsidRDefault="00236584" w:rsidP="003544FF">
            <w:pPr>
              <w:autoSpaceDE w:val="0"/>
              <w:autoSpaceDN w:val="0"/>
              <w:rPr>
                <w:color w:val="003C8A"/>
                <w:sz w:val="15"/>
                <w:szCs w:val="15"/>
              </w:rPr>
            </w:pPr>
            <w:r w:rsidRPr="001D6B0F">
              <w:rPr>
                <w:noProof/>
                <w:color w:val="000000"/>
                <w:sz w:val="15"/>
                <w:szCs w:val="15"/>
                <w:lang w:val="en-US" w:eastAsia="en-US"/>
              </w:rPr>
              <w:drawing>
                <wp:inline distT="0" distB="0" distL="0" distR="0" wp14:anchorId="0FB78836" wp14:editId="0FB78837">
                  <wp:extent cx="360045" cy="360045"/>
                  <wp:effectExtent l="0" t="0" r="1905" b="1905"/>
                  <wp:docPr id="5" name="Image 18" descr="Description : \\Fru1fic2\fru1scocom\Dossiers de travail Communauté\e mailing\TOOLBOX\picto_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Fru1fic2\fru1scocom\Dossiers de travail Communauté\e mailing\TOOLBOX\picto_C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003959DA" w:rsidRPr="001D6B0F">
              <w:rPr>
                <w:color w:val="003C8A"/>
                <w:sz w:val="15"/>
              </w:rPr>
              <w:t xml:space="preserve"> </w:t>
            </w:r>
            <w:r w:rsidR="003959DA" w:rsidRPr="001D6B0F">
              <w:rPr>
                <w:noProof/>
                <w:color w:val="000000"/>
                <w:sz w:val="15"/>
              </w:rPr>
              <w:t xml:space="preserve"> </w:t>
            </w:r>
            <w:r w:rsidRPr="001D6B0F">
              <w:rPr>
                <w:noProof/>
                <w:color w:val="000000"/>
                <w:sz w:val="15"/>
                <w:szCs w:val="15"/>
                <w:lang w:val="en-US" w:eastAsia="en-US"/>
              </w:rPr>
              <w:drawing>
                <wp:inline distT="0" distB="0" distL="0" distR="0" wp14:anchorId="0FB78838" wp14:editId="0FB78839">
                  <wp:extent cx="360045" cy="360045"/>
                  <wp:effectExtent l="0" t="0" r="1905" b="1905"/>
                  <wp:docPr id="6" name="Image 19" descr="Description : \\Fru1fic2\fru1scocom\Dossiers de travail Communauté\e mailing\TOOLBOX\picto_P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Description : \\Fru1fic2\fru1scocom\Dossiers de travail Communauté\e mailing\TOOLBOX\picto_PC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003959DA" w:rsidRPr="001D6B0F">
              <w:rPr>
                <w:noProof/>
                <w:color w:val="000000"/>
                <w:sz w:val="15"/>
              </w:rPr>
              <w:t xml:space="preserve"> </w:t>
            </w:r>
            <w:r w:rsidR="003959DA" w:rsidRPr="001D6B0F">
              <w:rPr>
                <w:color w:val="003C8A"/>
                <w:sz w:val="15"/>
              </w:rPr>
              <w:t xml:space="preserve"> </w:t>
            </w:r>
            <w:r w:rsidRPr="001D6B0F">
              <w:rPr>
                <w:noProof/>
                <w:color w:val="000000"/>
                <w:sz w:val="15"/>
                <w:szCs w:val="15"/>
                <w:lang w:val="en-US" w:eastAsia="en-US"/>
              </w:rPr>
              <w:drawing>
                <wp:inline distT="0" distB="0" distL="0" distR="0" wp14:anchorId="0FB7883A" wp14:editId="0FB7883B">
                  <wp:extent cx="360045" cy="360045"/>
                  <wp:effectExtent l="0" t="0" r="1905" b="1905"/>
                  <wp:docPr id="7" name="Image 24" descr="Description : \\Fru1fic2\fru1scocom\Dossiers de travail Communauté\e mailing\TOOLBOX\picto_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Description : \\Fru1fic2\fru1scocom\Dossiers de travail Communauté\e mailing\TOOLBOX\picto_S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003959DA" w:rsidRPr="001D6B0F">
              <w:rPr>
                <w:color w:val="003C8A"/>
                <w:sz w:val="15"/>
              </w:rPr>
              <w:t xml:space="preserve">  </w:t>
            </w:r>
            <w:r w:rsidRPr="001D6B0F">
              <w:rPr>
                <w:noProof/>
                <w:color w:val="000000"/>
                <w:sz w:val="15"/>
                <w:szCs w:val="15"/>
                <w:lang w:val="en-US" w:eastAsia="en-US"/>
              </w:rPr>
              <w:drawing>
                <wp:inline distT="0" distB="0" distL="0" distR="0" wp14:anchorId="0FB7883C" wp14:editId="0FB7883D">
                  <wp:extent cx="360045" cy="360045"/>
                  <wp:effectExtent l="0" t="0" r="1905" b="1905"/>
                  <wp:docPr id="8" name="Image 25" descr="Description : \\Fru1fic2\fru1scocom\Dossiers de travail Communauté\e mailing\TOOLBOX\picto_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Fru1fic2\fru1scocom\Dossiers de travail Communauté\e mailing\TOOLBOX\picto_E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p>
        </w:tc>
        <w:tc>
          <w:tcPr>
            <w:tcW w:w="425" w:type="dxa"/>
            <w:shd w:val="clear" w:color="auto" w:fill="auto"/>
          </w:tcPr>
          <w:p w14:paraId="0FB7882C" w14:textId="77777777" w:rsidR="003959DA" w:rsidRPr="001D6B0F" w:rsidRDefault="003959DA" w:rsidP="003544FF">
            <w:pPr>
              <w:jc w:val="both"/>
              <w:rPr>
                <w:color w:val="003C8A"/>
                <w:sz w:val="15"/>
                <w:szCs w:val="15"/>
              </w:rPr>
            </w:pPr>
          </w:p>
        </w:tc>
        <w:tc>
          <w:tcPr>
            <w:tcW w:w="4252" w:type="dxa"/>
            <w:shd w:val="clear" w:color="auto" w:fill="auto"/>
          </w:tcPr>
          <w:p w14:paraId="0FB7882D" w14:textId="77777777" w:rsidR="003959DA" w:rsidRPr="001D6B0F" w:rsidRDefault="003959DA" w:rsidP="003544FF">
            <w:pPr>
              <w:jc w:val="both"/>
              <w:rPr>
                <w:color w:val="003C8A"/>
                <w:sz w:val="15"/>
                <w:szCs w:val="15"/>
              </w:rPr>
            </w:pPr>
            <w:r w:rsidRPr="001D6B0F">
              <w:rPr>
                <w:color w:val="003C8A"/>
                <w:sz w:val="15"/>
              </w:rPr>
              <w:t xml:space="preserve">Press contact: </w:t>
            </w:r>
            <w:r w:rsidR="00E43523" w:rsidRPr="001D6B0F">
              <w:rPr>
                <w:color w:val="003C8A"/>
                <w:sz w:val="15"/>
              </w:rPr>
              <w:t>Catherine</w:t>
            </w:r>
            <w:r w:rsidRPr="001D6B0F">
              <w:rPr>
                <w:color w:val="003C8A"/>
                <w:sz w:val="15"/>
              </w:rPr>
              <w:t xml:space="preserve"> </w:t>
            </w:r>
            <w:r w:rsidR="00E43523" w:rsidRPr="001D6B0F">
              <w:rPr>
                <w:color w:val="003C8A"/>
                <w:sz w:val="15"/>
              </w:rPr>
              <w:t>CHRISTMANN</w:t>
            </w:r>
          </w:p>
          <w:p w14:paraId="0FB7882E" w14:textId="77777777" w:rsidR="003959DA" w:rsidRPr="001D6B0F" w:rsidRDefault="003959DA" w:rsidP="003544FF">
            <w:pPr>
              <w:jc w:val="both"/>
              <w:rPr>
                <w:color w:val="003C8A"/>
                <w:sz w:val="15"/>
                <w:szCs w:val="15"/>
              </w:rPr>
            </w:pPr>
            <w:r w:rsidRPr="001D6B0F">
              <w:rPr>
                <w:color w:val="003C8A"/>
                <w:sz w:val="15"/>
              </w:rPr>
              <w:t xml:space="preserve">Offer Communication </w:t>
            </w:r>
            <w:r w:rsidR="00E43523" w:rsidRPr="001D6B0F">
              <w:rPr>
                <w:color w:val="003C8A"/>
                <w:sz w:val="15"/>
              </w:rPr>
              <w:t>project m</w:t>
            </w:r>
            <w:r w:rsidRPr="001D6B0F">
              <w:rPr>
                <w:color w:val="003C8A"/>
                <w:sz w:val="15"/>
              </w:rPr>
              <w:t>anager</w:t>
            </w:r>
          </w:p>
          <w:p w14:paraId="0FB7882F" w14:textId="77777777" w:rsidR="003959DA" w:rsidRPr="001D6B0F" w:rsidRDefault="003959DA" w:rsidP="003544FF">
            <w:pPr>
              <w:jc w:val="both"/>
              <w:rPr>
                <w:color w:val="003C8A"/>
                <w:sz w:val="15"/>
                <w:szCs w:val="15"/>
              </w:rPr>
            </w:pPr>
            <w:r w:rsidRPr="001D6B0F">
              <w:rPr>
                <w:color w:val="003C8A"/>
                <w:sz w:val="15"/>
              </w:rPr>
              <w:t xml:space="preserve">Tel. : +33 (0)3 88 57 </w:t>
            </w:r>
            <w:r w:rsidR="00E43523" w:rsidRPr="001D6B0F">
              <w:rPr>
                <w:color w:val="003C8A"/>
                <w:sz w:val="15"/>
              </w:rPr>
              <w:t>48 83</w:t>
            </w:r>
          </w:p>
          <w:p w14:paraId="0FB78830" w14:textId="77777777" w:rsidR="003959DA" w:rsidRPr="001D6B0F" w:rsidRDefault="003959DA" w:rsidP="003544FF">
            <w:pPr>
              <w:jc w:val="both"/>
              <w:rPr>
                <w:color w:val="003C8A"/>
                <w:sz w:val="15"/>
                <w:szCs w:val="15"/>
              </w:rPr>
            </w:pPr>
            <w:r w:rsidRPr="001D6B0F">
              <w:rPr>
                <w:color w:val="003C8A"/>
                <w:sz w:val="15"/>
              </w:rPr>
              <w:t>E-Mail:</w:t>
            </w:r>
            <w:r w:rsidRPr="001D6B0F">
              <w:t xml:space="preserve"> </w:t>
            </w:r>
            <w:r w:rsidR="00E43523" w:rsidRPr="001D6B0F">
              <w:rPr>
                <w:color w:val="003C8A"/>
                <w:sz w:val="15"/>
              </w:rPr>
              <w:t>catherine.christmann</w:t>
            </w:r>
            <w:r w:rsidRPr="001D6B0F">
              <w:rPr>
                <w:color w:val="003C8A"/>
                <w:sz w:val="15"/>
              </w:rPr>
              <w:t>@socomec.com</w:t>
            </w:r>
          </w:p>
          <w:p w14:paraId="0FB78831" w14:textId="77777777" w:rsidR="003959DA" w:rsidRPr="001D6B0F" w:rsidRDefault="003959DA" w:rsidP="003544FF">
            <w:pPr>
              <w:jc w:val="both"/>
              <w:rPr>
                <w:color w:val="7F7F7F"/>
                <w:sz w:val="15"/>
                <w:szCs w:val="15"/>
              </w:rPr>
            </w:pPr>
          </w:p>
          <w:p w14:paraId="0FB78832" w14:textId="77777777" w:rsidR="003959DA" w:rsidRPr="001D6B0F" w:rsidRDefault="00F77162" w:rsidP="003544FF">
            <w:pPr>
              <w:jc w:val="both"/>
              <w:rPr>
                <w:color w:val="003C8A"/>
                <w:sz w:val="15"/>
                <w:szCs w:val="15"/>
              </w:rPr>
            </w:pPr>
            <w:hyperlink r:id="rId13">
              <w:r w:rsidR="003959DA" w:rsidRPr="001D6B0F">
                <w:rPr>
                  <w:rStyle w:val="Lienhypertexte"/>
                  <w:sz w:val="15"/>
                  <w:lang w:val="en-GB"/>
                </w:rPr>
                <w:t>www.socomec.com</w:t>
              </w:r>
            </w:hyperlink>
          </w:p>
        </w:tc>
      </w:tr>
    </w:tbl>
    <w:p w14:paraId="0FB78834" w14:textId="77777777" w:rsidR="001B0D65" w:rsidRPr="001D6B0F" w:rsidRDefault="001B0D65" w:rsidP="00854621">
      <w:pPr>
        <w:tabs>
          <w:tab w:val="left" w:pos="3045"/>
        </w:tabs>
        <w:spacing w:after="120"/>
        <w:rPr>
          <w:color w:val="003C8A"/>
          <w:sz w:val="15"/>
        </w:rPr>
      </w:pPr>
    </w:p>
    <w:p w14:paraId="0FB78835" w14:textId="77777777" w:rsidR="001D6B0F" w:rsidRPr="001D6B0F" w:rsidRDefault="001D6B0F">
      <w:pPr>
        <w:tabs>
          <w:tab w:val="left" w:pos="3045"/>
        </w:tabs>
        <w:spacing w:after="120"/>
        <w:rPr>
          <w:color w:val="003C8A"/>
          <w:sz w:val="15"/>
        </w:rPr>
      </w:pPr>
    </w:p>
    <w:sectPr w:rsidR="001D6B0F" w:rsidRPr="001D6B0F" w:rsidSect="001B46AB">
      <w:headerReference w:type="default" r:id="rId14"/>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78840" w14:textId="77777777" w:rsidR="00783441" w:rsidRDefault="00783441" w:rsidP="001B46AB">
      <w:r>
        <w:separator/>
      </w:r>
    </w:p>
  </w:endnote>
  <w:endnote w:type="continuationSeparator" w:id="0">
    <w:p w14:paraId="0FB78841" w14:textId="77777777" w:rsidR="00783441" w:rsidRDefault="00783441" w:rsidP="001B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78846" w14:textId="77777777" w:rsidR="00875722" w:rsidRPr="00157BD7" w:rsidRDefault="00875722" w:rsidP="001B46AB">
    <w:pPr>
      <w:jc w:val="right"/>
    </w:pPr>
    <w:r>
      <w:rPr>
        <w:b/>
        <w:color w:val="404040"/>
        <w:sz w:val="22"/>
      </w:rPr>
      <w:t xml:space="preserve">PAGE </w:t>
    </w:r>
    <w:r>
      <w:rPr>
        <w:b/>
        <w:color w:val="404040"/>
        <w:sz w:val="22"/>
      </w:rPr>
      <w:fldChar w:fldCharType="begin"/>
    </w:r>
    <w:r>
      <w:rPr>
        <w:b/>
        <w:color w:val="404040"/>
        <w:sz w:val="22"/>
      </w:rPr>
      <w:instrText xml:space="preserve"> </w:instrText>
    </w:r>
    <w:r w:rsidR="00F11E8F">
      <w:rPr>
        <w:b/>
        <w:color w:val="404040"/>
        <w:sz w:val="22"/>
      </w:rPr>
      <w:instrText>PAGE</w:instrText>
    </w:r>
    <w:r>
      <w:rPr>
        <w:b/>
        <w:color w:val="404040"/>
        <w:sz w:val="22"/>
      </w:rPr>
      <w:instrText xml:space="preserve">   \* MERGEFORMAT </w:instrText>
    </w:r>
    <w:r>
      <w:rPr>
        <w:b/>
        <w:color w:val="404040"/>
        <w:sz w:val="22"/>
      </w:rPr>
      <w:fldChar w:fldCharType="separate"/>
    </w:r>
    <w:r w:rsidR="00F77162">
      <w:rPr>
        <w:b/>
        <w:noProof/>
        <w:color w:val="404040"/>
        <w:sz w:val="22"/>
      </w:rPr>
      <w:t>2</w:t>
    </w:r>
    <w:r>
      <w:rPr>
        <w:b/>
        <w:color w:val="404040"/>
        <w:sz w:val="22"/>
      </w:rPr>
      <w:fldChar w:fldCharType="end"/>
    </w:r>
    <w:r>
      <w:rPr>
        <w:b/>
        <w:color w:val="404040"/>
        <w:sz w:val="22"/>
      </w:rPr>
      <w:t>/</w:t>
    </w:r>
    <w:r>
      <w:rPr>
        <w:b/>
        <w:color w:val="404040"/>
        <w:sz w:val="22"/>
      </w:rPr>
      <w:fldChar w:fldCharType="begin"/>
    </w:r>
    <w:r>
      <w:rPr>
        <w:b/>
        <w:color w:val="404040"/>
        <w:sz w:val="22"/>
      </w:rPr>
      <w:instrText xml:space="preserve"> </w:instrText>
    </w:r>
    <w:r w:rsidR="00F11E8F">
      <w:rPr>
        <w:b/>
        <w:color w:val="404040"/>
        <w:sz w:val="22"/>
      </w:rPr>
      <w:instrText>NUMPAGES</w:instrText>
    </w:r>
    <w:r>
      <w:rPr>
        <w:b/>
        <w:color w:val="404040"/>
        <w:sz w:val="22"/>
      </w:rPr>
      <w:instrText xml:space="preserve">   \* MERGEFORMAT </w:instrText>
    </w:r>
    <w:r>
      <w:rPr>
        <w:b/>
        <w:color w:val="404040"/>
        <w:sz w:val="22"/>
      </w:rPr>
      <w:fldChar w:fldCharType="separate"/>
    </w:r>
    <w:r w:rsidR="00F77162">
      <w:rPr>
        <w:b/>
        <w:noProof/>
        <w:color w:val="404040"/>
        <w:sz w:val="22"/>
      </w:rPr>
      <w:t>2</w:t>
    </w:r>
    <w:r>
      <w:rPr>
        <w:b/>
        <w:color w:val="40404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7883E" w14:textId="77777777" w:rsidR="00783441" w:rsidRDefault="00783441" w:rsidP="001B46AB">
      <w:r>
        <w:separator/>
      </w:r>
    </w:p>
  </w:footnote>
  <w:footnote w:type="continuationSeparator" w:id="0">
    <w:p w14:paraId="0FB7883F" w14:textId="77777777" w:rsidR="00783441" w:rsidRDefault="00783441" w:rsidP="001B4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88"/>
      <w:gridCol w:w="4354"/>
    </w:tblGrid>
    <w:tr w:rsidR="00875722" w:rsidRPr="003E374B" w14:paraId="0FB78844" w14:textId="77777777" w:rsidTr="001B46AB">
      <w:tc>
        <w:tcPr>
          <w:tcW w:w="5172" w:type="dxa"/>
          <w:shd w:val="clear" w:color="auto" w:fill="auto"/>
          <w:vAlign w:val="center"/>
        </w:tcPr>
        <w:p w14:paraId="0FB78842" w14:textId="77777777" w:rsidR="00875722" w:rsidRPr="00564DE5" w:rsidRDefault="00236584" w:rsidP="001B46AB">
          <w:pPr>
            <w:pStyle w:val="En-tte"/>
            <w:rPr>
              <w:b/>
              <w:bCs/>
              <w:color w:val="003C8A"/>
            </w:rPr>
          </w:pPr>
          <w:r>
            <w:rPr>
              <w:noProof/>
              <w:color w:val="7F7F7F"/>
              <w:lang w:val="en-US" w:eastAsia="en-US"/>
            </w:rPr>
            <w:drawing>
              <wp:inline distT="0" distB="0" distL="0" distR="0" wp14:anchorId="0FB78847" wp14:editId="0FB78848">
                <wp:extent cx="2265045" cy="381000"/>
                <wp:effectExtent l="0" t="0" r="1905" b="0"/>
                <wp:docPr id="9" name="Image 17" descr="Description : \\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Description : \\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381000"/>
                        </a:xfrm>
                        <a:prstGeom prst="rect">
                          <a:avLst/>
                        </a:prstGeom>
                        <a:noFill/>
                        <a:ln>
                          <a:noFill/>
                        </a:ln>
                      </pic:spPr>
                    </pic:pic>
                  </a:graphicData>
                </a:graphic>
              </wp:inline>
            </w:drawing>
          </w:r>
        </w:p>
      </w:tc>
      <w:tc>
        <w:tcPr>
          <w:tcW w:w="5172" w:type="dxa"/>
          <w:shd w:val="clear" w:color="auto" w:fill="auto"/>
          <w:vAlign w:val="center"/>
        </w:tcPr>
        <w:p w14:paraId="0FB78843" w14:textId="77777777" w:rsidR="00875722" w:rsidRPr="00564DE5" w:rsidRDefault="005F4978" w:rsidP="005F4978">
          <w:pPr>
            <w:pStyle w:val="En-tte"/>
            <w:jc w:val="right"/>
            <w:rPr>
              <w:b/>
              <w:bCs/>
              <w:color w:val="003C8A"/>
            </w:rPr>
          </w:pPr>
          <w:r>
            <w:rPr>
              <w:b/>
              <w:color w:val="003C8A"/>
              <w:sz w:val="28"/>
            </w:rPr>
            <w:t>Press release</w:t>
          </w:r>
        </w:p>
      </w:tc>
    </w:tr>
  </w:tbl>
  <w:p w14:paraId="0FB78845" w14:textId="77777777" w:rsidR="00875722" w:rsidRPr="00564DE5" w:rsidRDefault="00875722" w:rsidP="001B46AB">
    <w:pPr>
      <w:pStyle w:val="En-tte"/>
      <w:rPr>
        <w:sz w:val="52"/>
        <w:szCs w:val="5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E94AD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8D2D62"/>
    <w:multiLevelType w:val="hybridMultilevel"/>
    <w:tmpl w:val="A1DE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201"/>
    <w:multiLevelType w:val="hybridMultilevel"/>
    <w:tmpl w:val="19AAE1E0"/>
    <w:lvl w:ilvl="0" w:tplc="CFDA7C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BC7C68"/>
    <w:multiLevelType w:val="hybridMultilevel"/>
    <w:tmpl w:val="03BA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EA031E"/>
    <w:multiLevelType w:val="hybridMultilevel"/>
    <w:tmpl w:val="90DCD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C8A5C60"/>
    <w:multiLevelType w:val="hybridMultilevel"/>
    <w:tmpl w:val="381A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4217E8"/>
    <w:multiLevelType w:val="hybridMultilevel"/>
    <w:tmpl w:val="C4882D16"/>
    <w:lvl w:ilvl="0" w:tplc="CFDA7C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E5843D1"/>
    <w:multiLevelType w:val="hybridMultilevel"/>
    <w:tmpl w:val="BA26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4B"/>
    <w:rsid w:val="00017AEA"/>
    <w:rsid w:val="00017F00"/>
    <w:rsid w:val="00023B2F"/>
    <w:rsid w:val="00024642"/>
    <w:rsid w:val="00031CA1"/>
    <w:rsid w:val="000359BE"/>
    <w:rsid w:val="00037006"/>
    <w:rsid w:val="00046814"/>
    <w:rsid w:val="00046952"/>
    <w:rsid w:val="00060406"/>
    <w:rsid w:val="00062061"/>
    <w:rsid w:val="00063C10"/>
    <w:rsid w:val="0008250E"/>
    <w:rsid w:val="00090377"/>
    <w:rsid w:val="00091E3F"/>
    <w:rsid w:val="00096CDA"/>
    <w:rsid w:val="000A1265"/>
    <w:rsid w:val="000A1E85"/>
    <w:rsid w:val="000B0C83"/>
    <w:rsid w:val="000C19A6"/>
    <w:rsid w:val="000C3D3E"/>
    <w:rsid w:val="000D267F"/>
    <w:rsid w:val="000D2741"/>
    <w:rsid w:val="000D50AB"/>
    <w:rsid w:val="000E221A"/>
    <w:rsid w:val="000E5D36"/>
    <w:rsid w:val="00105445"/>
    <w:rsid w:val="00105AA0"/>
    <w:rsid w:val="00131789"/>
    <w:rsid w:val="00137FDF"/>
    <w:rsid w:val="00140765"/>
    <w:rsid w:val="00142B09"/>
    <w:rsid w:val="00142C34"/>
    <w:rsid w:val="00142CA6"/>
    <w:rsid w:val="00143B0D"/>
    <w:rsid w:val="001458BD"/>
    <w:rsid w:val="00145F7F"/>
    <w:rsid w:val="00157BB5"/>
    <w:rsid w:val="00166805"/>
    <w:rsid w:val="0019276D"/>
    <w:rsid w:val="001B0D65"/>
    <w:rsid w:val="001B245C"/>
    <w:rsid w:val="001B46AB"/>
    <w:rsid w:val="001B6CF0"/>
    <w:rsid w:val="001B78B2"/>
    <w:rsid w:val="001C012D"/>
    <w:rsid w:val="001C15C6"/>
    <w:rsid w:val="001C4DBE"/>
    <w:rsid w:val="001C695D"/>
    <w:rsid w:val="001D3C99"/>
    <w:rsid w:val="001D4763"/>
    <w:rsid w:val="001D6B0F"/>
    <w:rsid w:val="001E1C0C"/>
    <w:rsid w:val="001E337A"/>
    <w:rsid w:val="001F65F6"/>
    <w:rsid w:val="0020204D"/>
    <w:rsid w:val="002057B5"/>
    <w:rsid w:val="00211FE8"/>
    <w:rsid w:val="0022015A"/>
    <w:rsid w:val="00236584"/>
    <w:rsid w:val="00253F4E"/>
    <w:rsid w:val="00272304"/>
    <w:rsid w:val="002731BA"/>
    <w:rsid w:val="002824E5"/>
    <w:rsid w:val="002912EE"/>
    <w:rsid w:val="002923EF"/>
    <w:rsid w:val="002953AD"/>
    <w:rsid w:val="00297C99"/>
    <w:rsid w:val="002A0148"/>
    <w:rsid w:val="002B158E"/>
    <w:rsid w:val="002B29F0"/>
    <w:rsid w:val="002B75A3"/>
    <w:rsid w:val="002C01DC"/>
    <w:rsid w:val="002C28F1"/>
    <w:rsid w:val="002E3726"/>
    <w:rsid w:val="002E3F7B"/>
    <w:rsid w:val="002F0DCC"/>
    <w:rsid w:val="002F0E37"/>
    <w:rsid w:val="002F250A"/>
    <w:rsid w:val="00300922"/>
    <w:rsid w:val="00304634"/>
    <w:rsid w:val="003105A7"/>
    <w:rsid w:val="003239BE"/>
    <w:rsid w:val="0033054F"/>
    <w:rsid w:val="00344AE2"/>
    <w:rsid w:val="003544FF"/>
    <w:rsid w:val="00356CAE"/>
    <w:rsid w:val="00357E6E"/>
    <w:rsid w:val="003600A4"/>
    <w:rsid w:val="00372968"/>
    <w:rsid w:val="003752C7"/>
    <w:rsid w:val="003863EC"/>
    <w:rsid w:val="003938D8"/>
    <w:rsid w:val="00395056"/>
    <w:rsid w:val="0039560C"/>
    <w:rsid w:val="003959DA"/>
    <w:rsid w:val="003A0AB1"/>
    <w:rsid w:val="003A1666"/>
    <w:rsid w:val="003A7E74"/>
    <w:rsid w:val="003B391A"/>
    <w:rsid w:val="003B3B35"/>
    <w:rsid w:val="003D46AF"/>
    <w:rsid w:val="003D54FD"/>
    <w:rsid w:val="003D63AB"/>
    <w:rsid w:val="003E374B"/>
    <w:rsid w:val="003E494D"/>
    <w:rsid w:val="003F79CA"/>
    <w:rsid w:val="004176FD"/>
    <w:rsid w:val="00424E66"/>
    <w:rsid w:val="00432AB4"/>
    <w:rsid w:val="00435836"/>
    <w:rsid w:val="004408AD"/>
    <w:rsid w:val="00441E14"/>
    <w:rsid w:val="0045754C"/>
    <w:rsid w:val="00463406"/>
    <w:rsid w:val="004645AD"/>
    <w:rsid w:val="00470473"/>
    <w:rsid w:val="00493435"/>
    <w:rsid w:val="004956A0"/>
    <w:rsid w:val="00496EF1"/>
    <w:rsid w:val="004A315D"/>
    <w:rsid w:val="004A3767"/>
    <w:rsid w:val="004B36A1"/>
    <w:rsid w:val="004B44FF"/>
    <w:rsid w:val="004B48A6"/>
    <w:rsid w:val="004B6EE7"/>
    <w:rsid w:val="004D66E5"/>
    <w:rsid w:val="00504D80"/>
    <w:rsid w:val="005111B0"/>
    <w:rsid w:val="0051174D"/>
    <w:rsid w:val="0051291C"/>
    <w:rsid w:val="005148AD"/>
    <w:rsid w:val="00522DEF"/>
    <w:rsid w:val="00527B33"/>
    <w:rsid w:val="00536795"/>
    <w:rsid w:val="00563559"/>
    <w:rsid w:val="005749A1"/>
    <w:rsid w:val="005916F4"/>
    <w:rsid w:val="00592A2D"/>
    <w:rsid w:val="005A4735"/>
    <w:rsid w:val="005A5C7D"/>
    <w:rsid w:val="005B17C4"/>
    <w:rsid w:val="005C2F91"/>
    <w:rsid w:val="005D3667"/>
    <w:rsid w:val="005D61AE"/>
    <w:rsid w:val="005D76E2"/>
    <w:rsid w:val="005F4978"/>
    <w:rsid w:val="005F68BF"/>
    <w:rsid w:val="0060017E"/>
    <w:rsid w:val="00603663"/>
    <w:rsid w:val="00625C0B"/>
    <w:rsid w:val="006338F1"/>
    <w:rsid w:val="00641CF8"/>
    <w:rsid w:val="00642017"/>
    <w:rsid w:val="00645D97"/>
    <w:rsid w:val="006640CC"/>
    <w:rsid w:val="00667054"/>
    <w:rsid w:val="0066757F"/>
    <w:rsid w:val="00683C83"/>
    <w:rsid w:val="00693B7C"/>
    <w:rsid w:val="0069581D"/>
    <w:rsid w:val="006A6BC1"/>
    <w:rsid w:val="006A7828"/>
    <w:rsid w:val="006D223F"/>
    <w:rsid w:val="006F0D41"/>
    <w:rsid w:val="006F1D3D"/>
    <w:rsid w:val="006F2FDC"/>
    <w:rsid w:val="006F752B"/>
    <w:rsid w:val="00705083"/>
    <w:rsid w:val="007168CB"/>
    <w:rsid w:val="007274C0"/>
    <w:rsid w:val="007276ED"/>
    <w:rsid w:val="00730A69"/>
    <w:rsid w:val="00741B37"/>
    <w:rsid w:val="00741E63"/>
    <w:rsid w:val="00746D78"/>
    <w:rsid w:val="00747919"/>
    <w:rsid w:val="0076729B"/>
    <w:rsid w:val="0077356E"/>
    <w:rsid w:val="00783441"/>
    <w:rsid w:val="00787987"/>
    <w:rsid w:val="007928CA"/>
    <w:rsid w:val="007A23F1"/>
    <w:rsid w:val="007A72A3"/>
    <w:rsid w:val="007B5E90"/>
    <w:rsid w:val="007B6587"/>
    <w:rsid w:val="007C594E"/>
    <w:rsid w:val="007D2193"/>
    <w:rsid w:val="007D5563"/>
    <w:rsid w:val="007D7CEC"/>
    <w:rsid w:val="007E6643"/>
    <w:rsid w:val="007F4BAC"/>
    <w:rsid w:val="0081472E"/>
    <w:rsid w:val="00817E5D"/>
    <w:rsid w:val="00820465"/>
    <w:rsid w:val="00823B74"/>
    <w:rsid w:val="00825150"/>
    <w:rsid w:val="00831B70"/>
    <w:rsid w:val="0084079A"/>
    <w:rsid w:val="00854621"/>
    <w:rsid w:val="00863EFB"/>
    <w:rsid w:val="008644AC"/>
    <w:rsid w:val="00864C48"/>
    <w:rsid w:val="00865BF5"/>
    <w:rsid w:val="0087265A"/>
    <w:rsid w:val="008733B8"/>
    <w:rsid w:val="00874546"/>
    <w:rsid w:val="00875722"/>
    <w:rsid w:val="00882476"/>
    <w:rsid w:val="008A08FC"/>
    <w:rsid w:val="008A4DA2"/>
    <w:rsid w:val="008A79EE"/>
    <w:rsid w:val="008B160A"/>
    <w:rsid w:val="008B1A43"/>
    <w:rsid w:val="008B2456"/>
    <w:rsid w:val="008B3735"/>
    <w:rsid w:val="008B4C34"/>
    <w:rsid w:val="008E62FB"/>
    <w:rsid w:val="008F3F6A"/>
    <w:rsid w:val="00907F13"/>
    <w:rsid w:val="00915245"/>
    <w:rsid w:val="009374B9"/>
    <w:rsid w:val="00941442"/>
    <w:rsid w:val="00963E48"/>
    <w:rsid w:val="00971996"/>
    <w:rsid w:val="00971E97"/>
    <w:rsid w:val="00971F99"/>
    <w:rsid w:val="00977C88"/>
    <w:rsid w:val="00986C81"/>
    <w:rsid w:val="00987AAE"/>
    <w:rsid w:val="009913FE"/>
    <w:rsid w:val="009A1B37"/>
    <w:rsid w:val="009C1E28"/>
    <w:rsid w:val="009C5472"/>
    <w:rsid w:val="009D4E0E"/>
    <w:rsid w:val="009D5EAD"/>
    <w:rsid w:val="009E65FE"/>
    <w:rsid w:val="009F16FD"/>
    <w:rsid w:val="009F3B56"/>
    <w:rsid w:val="009F6344"/>
    <w:rsid w:val="00A107DA"/>
    <w:rsid w:val="00A1158C"/>
    <w:rsid w:val="00A14789"/>
    <w:rsid w:val="00A23962"/>
    <w:rsid w:val="00A34A2A"/>
    <w:rsid w:val="00A34B0E"/>
    <w:rsid w:val="00A37676"/>
    <w:rsid w:val="00A40A59"/>
    <w:rsid w:val="00A414DC"/>
    <w:rsid w:val="00A4209D"/>
    <w:rsid w:val="00A46D98"/>
    <w:rsid w:val="00A478FC"/>
    <w:rsid w:val="00A5652A"/>
    <w:rsid w:val="00A73807"/>
    <w:rsid w:val="00A8277F"/>
    <w:rsid w:val="00A836EB"/>
    <w:rsid w:val="00A87D19"/>
    <w:rsid w:val="00AB0A97"/>
    <w:rsid w:val="00AB36BF"/>
    <w:rsid w:val="00AE7E8D"/>
    <w:rsid w:val="00B014DE"/>
    <w:rsid w:val="00B063BE"/>
    <w:rsid w:val="00B072FE"/>
    <w:rsid w:val="00B208D8"/>
    <w:rsid w:val="00B22A99"/>
    <w:rsid w:val="00B26280"/>
    <w:rsid w:val="00B339CC"/>
    <w:rsid w:val="00B3636E"/>
    <w:rsid w:val="00B40040"/>
    <w:rsid w:val="00B560F6"/>
    <w:rsid w:val="00B639CF"/>
    <w:rsid w:val="00B64C4A"/>
    <w:rsid w:val="00B7283F"/>
    <w:rsid w:val="00B93590"/>
    <w:rsid w:val="00BA2D0E"/>
    <w:rsid w:val="00BA3095"/>
    <w:rsid w:val="00BA5258"/>
    <w:rsid w:val="00BA7078"/>
    <w:rsid w:val="00BA7A48"/>
    <w:rsid w:val="00BD0EAF"/>
    <w:rsid w:val="00BE0E4A"/>
    <w:rsid w:val="00BE641A"/>
    <w:rsid w:val="00BF5B8B"/>
    <w:rsid w:val="00C07891"/>
    <w:rsid w:val="00C12B08"/>
    <w:rsid w:val="00C25041"/>
    <w:rsid w:val="00C35B62"/>
    <w:rsid w:val="00C375C4"/>
    <w:rsid w:val="00C37EC8"/>
    <w:rsid w:val="00C4310D"/>
    <w:rsid w:val="00C44895"/>
    <w:rsid w:val="00C507AE"/>
    <w:rsid w:val="00C5410B"/>
    <w:rsid w:val="00C60679"/>
    <w:rsid w:val="00C723CA"/>
    <w:rsid w:val="00C93064"/>
    <w:rsid w:val="00CB21A5"/>
    <w:rsid w:val="00CB6C7F"/>
    <w:rsid w:val="00CD2F1E"/>
    <w:rsid w:val="00CD66C8"/>
    <w:rsid w:val="00CD6973"/>
    <w:rsid w:val="00CE02E0"/>
    <w:rsid w:val="00CE3363"/>
    <w:rsid w:val="00CE3B73"/>
    <w:rsid w:val="00CE5583"/>
    <w:rsid w:val="00CF3623"/>
    <w:rsid w:val="00D01D80"/>
    <w:rsid w:val="00D05DAD"/>
    <w:rsid w:val="00D12C32"/>
    <w:rsid w:val="00D158B2"/>
    <w:rsid w:val="00D1669A"/>
    <w:rsid w:val="00D21279"/>
    <w:rsid w:val="00D22799"/>
    <w:rsid w:val="00D248A3"/>
    <w:rsid w:val="00D24E9F"/>
    <w:rsid w:val="00D31AA3"/>
    <w:rsid w:val="00D36988"/>
    <w:rsid w:val="00D47B3E"/>
    <w:rsid w:val="00D50C48"/>
    <w:rsid w:val="00D50DBB"/>
    <w:rsid w:val="00D513C4"/>
    <w:rsid w:val="00D51D4C"/>
    <w:rsid w:val="00D54304"/>
    <w:rsid w:val="00D55028"/>
    <w:rsid w:val="00D61B8D"/>
    <w:rsid w:val="00D61BD3"/>
    <w:rsid w:val="00D62D77"/>
    <w:rsid w:val="00D65035"/>
    <w:rsid w:val="00D70A93"/>
    <w:rsid w:val="00D76896"/>
    <w:rsid w:val="00D772F6"/>
    <w:rsid w:val="00D83843"/>
    <w:rsid w:val="00DA1E0B"/>
    <w:rsid w:val="00DA5FBB"/>
    <w:rsid w:val="00DB4905"/>
    <w:rsid w:val="00DB5686"/>
    <w:rsid w:val="00DC6393"/>
    <w:rsid w:val="00DD26C6"/>
    <w:rsid w:val="00DD7A28"/>
    <w:rsid w:val="00DE22B8"/>
    <w:rsid w:val="00DE38DC"/>
    <w:rsid w:val="00DF0D10"/>
    <w:rsid w:val="00E0024B"/>
    <w:rsid w:val="00E03C40"/>
    <w:rsid w:val="00E16A7B"/>
    <w:rsid w:val="00E2123E"/>
    <w:rsid w:val="00E2213E"/>
    <w:rsid w:val="00E2636C"/>
    <w:rsid w:val="00E34D31"/>
    <w:rsid w:val="00E35118"/>
    <w:rsid w:val="00E35E65"/>
    <w:rsid w:val="00E41831"/>
    <w:rsid w:val="00E43523"/>
    <w:rsid w:val="00E52A8B"/>
    <w:rsid w:val="00E60479"/>
    <w:rsid w:val="00E62034"/>
    <w:rsid w:val="00E65754"/>
    <w:rsid w:val="00E803B0"/>
    <w:rsid w:val="00E812F4"/>
    <w:rsid w:val="00E868EA"/>
    <w:rsid w:val="00E922B4"/>
    <w:rsid w:val="00EA5D38"/>
    <w:rsid w:val="00EB3206"/>
    <w:rsid w:val="00EB3D6E"/>
    <w:rsid w:val="00EB3D73"/>
    <w:rsid w:val="00EB45A0"/>
    <w:rsid w:val="00EC2AAE"/>
    <w:rsid w:val="00ED3E6D"/>
    <w:rsid w:val="00ED688A"/>
    <w:rsid w:val="00EE2CB5"/>
    <w:rsid w:val="00EF2625"/>
    <w:rsid w:val="00EF41B8"/>
    <w:rsid w:val="00F0448C"/>
    <w:rsid w:val="00F06AD8"/>
    <w:rsid w:val="00F10AF0"/>
    <w:rsid w:val="00F11E8F"/>
    <w:rsid w:val="00F13F4C"/>
    <w:rsid w:val="00F17CDC"/>
    <w:rsid w:val="00F2388E"/>
    <w:rsid w:val="00F309EB"/>
    <w:rsid w:val="00F32444"/>
    <w:rsid w:val="00F40016"/>
    <w:rsid w:val="00F42FE7"/>
    <w:rsid w:val="00F53E19"/>
    <w:rsid w:val="00F575EA"/>
    <w:rsid w:val="00F718E8"/>
    <w:rsid w:val="00F71986"/>
    <w:rsid w:val="00F76E53"/>
    <w:rsid w:val="00F77162"/>
    <w:rsid w:val="00F86DB4"/>
    <w:rsid w:val="00F9440E"/>
    <w:rsid w:val="00FB0E95"/>
    <w:rsid w:val="00FB7B74"/>
    <w:rsid w:val="00FC2BB1"/>
    <w:rsid w:val="00FC4F9F"/>
    <w:rsid w:val="00FD21D7"/>
    <w:rsid w:val="00FD4EE8"/>
    <w:rsid w:val="00FE3052"/>
    <w:rsid w:val="00FE7F36"/>
    <w:rsid w:val="00FF00B5"/>
    <w:rsid w:val="00FF0E29"/>
    <w:rsid w:val="00FF20A6"/>
    <w:rsid w:val="00FF3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7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4B"/>
    <w:rPr>
      <w:rFonts w:ascii="Arial" w:eastAsia="Times New Roman" w:hAnsi="Arial"/>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374B"/>
    <w:pPr>
      <w:tabs>
        <w:tab w:val="center" w:pos="4513"/>
        <w:tab w:val="right" w:pos="9026"/>
      </w:tabs>
    </w:pPr>
  </w:style>
  <w:style w:type="character" w:customStyle="1" w:styleId="En-tteCar">
    <w:name w:val="En-tête Car"/>
    <w:basedOn w:val="Policepardfaut"/>
    <w:link w:val="En-tte"/>
    <w:uiPriority w:val="99"/>
    <w:rsid w:val="003E374B"/>
  </w:style>
  <w:style w:type="paragraph" w:styleId="Pieddepage">
    <w:name w:val="footer"/>
    <w:basedOn w:val="Normal"/>
    <w:link w:val="PieddepageCar"/>
    <w:unhideWhenUsed/>
    <w:rsid w:val="003E374B"/>
    <w:pPr>
      <w:tabs>
        <w:tab w:val="center" w:pos="4513"/>
        <w:tab w:val="right" w:pos="9026"/>
      </w:tabs>
    </w:pPr>
  </w:style>
  <w:style w:type="character" w:customStyle="1" w:styleId="PieddepageCar">
    <w:name w:val="Pied de page Car"/>
    <w:basedOn w:val="Policepardfaut"/>
    <w:link w:val="Pieddepage"/>
    <w:rsid w:val="003E374B"/>
  </w:style>
  <w:style w:type="table" w:styleId="Grilledutableau">
    <w:name w:val="Table Grid"/>
    <w:basedOn w:val="TableauNormal"/>
    <w:uiPriority w:val="59"/>
    <w:rsid w:val="003E374B"/>
    <w:rPr>
      <w:rFonts w:ascii="Wingdings 2" w:eastAsia="Calibri" w:hAnsi="Wingdings 2"/>
      <w:color w:val="7F7F7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74B"/>
    <w:rPr>
      <w:rFonts w:ascii="Tahoma" w:eastAsia="SimSun" w:hAnsi="Tahoma" w:cs="Times New Roman"/>
      <w:sz w:val="16"/>
      <w:szCs w:val="16"/>
      <w:lang w:val="fr-FR"/>
    </w:rPr>
  </w:style>
  <w:style w:type="character" w:customStyle="1" w:styleId="TextedebullesCar">
    <w:name w:val="Texte de bulles Car"/>
    <w:link w:val="Textedebulles"/>
    <w:uiPriority w:val="99"/>
    <w:semiHidden/>
    <w:rsid w:val="003E374B"/>
    <w:rPr>
      <w:rFonts w:ascii="Tahoma" w:hAnsi="Tahoma" w:cs="Tahoma"/>
      <w:sz w:val="16"/>
      <w:szCs w:val="16"/>
      <w:lang w:val="fr-FR" w:eastAsia="fr-FR"/>
    </w:rPr>
  </w:style>
  <w:style w:type="paragraph" w:styleId="NormalWeb">
    <w:name w:val="Normal (Web)"/>
    <w:basedOn w:val="Normal"/>
    <w:uiPriority w:val="99"/>
    <w:unhideWhenUsed/>
    <w:rsid w:val="003E374B"/>
    <w:pPr>
      <w:spacing w:after="210" w:line="210" w:lineRule="atLeast"/>
      <w:jc w:val="both"/>
    </w:pPr>
    <w:rPr>
      <w:rFonts w:ascii="Times New Roman" w:hAnsi="Times New Roman" w:cs="Times New Roman"/>
      <w:sz w:val="17"/>
      <w:szCs w:val="17"/>
      <w:lang w:val="fr-FR"/>
    </w:rPr>
  </w:style>
  <w:style w:type="character" w:styleId="Lienhypertexte">
    <w:name w:val="Hyperlink"/>
    <w:uiPriority w:val="99"/>
    <w:unhideWhenUsed/>
    <w:rsid w:val="003E374B"/>
    <w:rPr>
      <w:color w:val="0000FF"/>
      <w:u w:val="single"/>
      <w:lang w:val="fr-FR" w:eastAsia="fr-FR"/>
    </w:rPr>
  </w:style>
  <w:style w:type="character" w:customStyle="1" w:styleId="Testosegnaposto">
    <w:name w:val="Testo segnaposto"/>
    <w:uiPriority w:val="99"/>
    <w:semiHidden/>
    <w:rsid w:val="00372840"/>
    <w:rPr>
      <w:color w:val="808080"/>
      <w:lang w:val="fr-FR" w:eastAsia="fr-FR"/>
    </w:rPr>
  </w:style>
  <w:style w:type="character" w:customStyle="1" w:styleId="hps">
    <w:name w:val="hps"/>
    <w:basedOn w:val="Policepardfaut"/>
    <w:rsid w:val="009D4865"/>
  </w:style>
  <w:style w:type="paragraph" w:customStyle="1" w:styleId="Default">
    <w:name w:val="Default"/>
    <w:rsid w:val="00D772F6"/>
    <w:pPr>
      <w:autoSpaceDE w:val="0"/>
      <w:autoSpaceDN w:val="0"/>
      <w:adjustRightInd w:val="0"/>
    </w:pPr>
    <w:rPr>
      <w:rFonts w:ascii="Arial" w:hAnsi="Arial"/>
      <w:color w:val="000000"/>
      <w:sz w:val="24"/>
      <w:szCs w:val="24"/>
      <w:lang w:val="fr-FR" w:eastAsia="fr-FR"/>
    </w:rPr>
  </w:style>
  <w:style w:type="character" w:styleId="Accentuation">
    <w:name w:val="Emphasis"/>
    <w:uiPriority w:val="20"/>
    <w:qFormat/>
    <w:rsid w:val="009A1B37"/>
    <w:rPr>
      <w:i/>
      <w:iCs/>
    </w:rPr>
  </w:style>
  <w:style w:type="character" w:styleId="Lienhypertextesuivivisit">
    <w:name w:val="FollowedHyperlink"/>
    <w:uiPriority w:val="99"/>
    <w:semiHidden/>
    <w:unhideWhenUsed/>
    <w:rsid w:val="001458BD"/>
    <w:rPr>
      <w:color w:val="800080"/>
      <w:u w:val="single"/>
    </w:rPr>
  </w:style>
  <w:style w:type="character" w:styleId="Marquedecommentaire">
    <w:name w:val="annotation reference"/>
    <w:uiPriority w:val="99"/>
    <w:semiHidden/>
    <w:unhideWhenUsed/>
    <w:rsid w:val="00E43523"/>
    <w:rPr>
      <w:sz w:val="16"/>
      <w:szCs w:val="16"/>
    </w:rPr>
  </w:style>
  <w:style w:type="paragraph" w:styleId="Commentaire">
    <w:name w:val="annotation text"/>
    <w:basedOn w:val="Normal"/>
    <w:link w:val="CommentaireCar"/>
    <w:uiPriority w:val="99"/>
    <w:semiHidden/>
    <w:unhideWhenUsed/>
    <w:rsid w:val="00E43523"/>
    <w:rPr>
      <w:sz w:val="20"/>
      <w:szCs w:val="20"/>
    </w:rPr>
  </w:style>
  <w:style w:type="character" w:customStyle="1" w:styleId="CommentaireCar">
    <w:name w:val="Commentaire Car"/>
    <w:basedOn w:val="Policepardfaut"/>
    <w:link w:val="Commentaire"/>
    <w:uiPriority w:val="99"/>
    <w:semiHidden/>
    <w:rsid w:val="00E43523"/>
    <w:rPr>
      <w:rFonts w:ascii="Arial" w:eastAsia="Times New Roman" w:hAnsi="Arial"/>
      <w:lang w:val="en-GB" w:eastAsia="fr-FR"/>
    </w:rPr>
  </w:style>
  <w:style w:type="paragraph" w:styleId="Rvision">
    <w:name w:val="Revision"/>
    <w:hidden/>
    <w:uiPriority w:val="99"/>
    <w:semiHidden/>
    <w:rsid w:val="00907F13"/>
    <w:rPr>
      <w:rFonts w:ascii="Arial" w:eastAsia="Times New Roman" w:hAnsi="Arial"/>
      <w:sz w:val="24"/>
      <w:szCs w:val="2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4B"/>
    <w:rPr>
      <w:rFonts w:ascii="Arial" w:eastAsia="Times New Roman" w:hAnsi="Arial"/>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374B"/>
    <w:pPr>
      <w:tabs>
        <w:tab w:val="center" w:pos="4513"/>
        <w:tab w:val="right" w:pos="9026"/>
      </w:tabs>
    </w:pPr>
  </w:style>
  <w:style w:type="character" w:customStyle="1" w:styleId="En-tteCar">
    <w:name w:val="En-tête Car"/>
    <w:basedOn w:val="Policepardfaut"/>
    <w:link w:val="En-tte"/>
    <w:uiPriority w:val="99"/>
    <w:rsid w:val="003E374B"/>
  </w:style>
  <w:style w:type="paragraph" w:styleId="Pieddepage">
    <w:name w:val="footer"/>
    <w:basedOn w:val="Normal"/>
    <w:link w:val="PieddepageCar"/>
    <w:unhideWhenUsed/>
    <w:rsid w:val="003E374B"/>
    <w:pPr>
      <w:tabs>
        <w:tab w:val="center" w:pos="4513"/>
        <w:tab w:val="right" w:pos="9026"/>
      </w:tabs>
    </w:pPr>
  </w:style>
  <w:style w:type="character" w:customStyle="1" w:styleId="PieddepageCar">
    <w:name w:val="Pied de page Car"/>
    <w:basedOn w:val="Policepardfaut"/>
    <w:link w:val="Pieddepage"/>
    <w:rsid w:val="003E374B"/>
  </w:style>
  <w:style w:type="table" w:styleId="Grilledutableau">
    <w:name w:val="Table Grid"/>
    <w:basedOn w:val="TableauNormal"/>
    <w:uiPriority w:val="59"/>
    <w:rsid w:val="003E374B"/>
    <w:rPr>
      <w:rFonts w:ascii="Wingdings 2" w:eastAsia="Calibri" w:hAnsi="Wingdings 2"/>
      <w:color w:val="7F7F7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74B"/>
    <w:rPr>
      <w:rFonts w:ascii="Tahoma" w:eastAsia="SimSun" w:hAnsi="Tahoma" w:cs="Times New Roman"/>
      <w:sz w:val="16"/>
      <w:szCs w:val="16"/>
      <w:lang w:val="fr-FR"/>
    </w:rPr>
  </w:style>
  <w:style w:type="character" w:customStyle="1" w:styleId="TextedebullesCar">
    <w:name w:val="Texte de bulles Car"/>
    <w:link w:val="Textedebulles"/>
    <w:uiPriority w:val="99"/>
    <w:semiHidden/>
    <w:rsid w:val="003E374B"/>
    <w:rPr>
      <w:rFonts w:ascii="Tahoma" w:hAnsi="Tahoma" w:cs="Tahoma"/>
      <w:sz w:val="16"/>
      <w:szCs w:val="16"/>
      <w:lang w:val="fr-FR" w:eastAsia="fr-FR"/>
    </w:rPr>
  </w:style>
  <w:style w:type="paragraph" w:styleId="NormalWeb">
    <w:name w:val="Normal (Web)"/>
    <w:basedOn w:val="Normal"/>
    <w:uiPriority w:val="99"/>
    <w:unhideWhenUsed/>
    <w:rsid w:val="003E374B"/>
    <w:pPr>
      <w:spacing w:after="210" w:line="210" w:lineRule="atLeast"/>
      <w:jc w:val="both"/>
    </w:pPr>
    <w:rPr>
      <w:rFonts w:ascii="Times New Roman" w:hAnsi="Times New Roman" w:cs="Times New Roman"/>
      <w:sz w:val="17"/>
      <w:szCs w:val="17"/>
      <w:lang w:val="fr-FR"/>
    </w:rPr>
  </w:style>
  <w:style w:type="character" w:styleId="Lienhypertexte">
    <w:name w:val="Hyperlink"/>
    <w:uiPriority w:val="99"/>
    <w:unhideWhenUsed/>
    <w:rsid w:val="003E374B"/>
    <w:rPr>
      <w:color w:val="0000FF"/>
      <w:u w:val="single"/>
      <w:lang w:val="fr-FR" w:eastAsia="fr-FR"/>
    </w:rPr>
  </w:style>
  <w:style w:type="character" w:customStyle="1" w:styleId="Testosegnaposto">
    <w:name w:val="Testo segnaposto"/>
    <w:uiPriority w:val="99"/>
    <w:semiHidden/>
    <w:rsid w:val="00372840"/>
    <w:rPr>
      <w:color w:val="808080"/>
      <w:lang w:val="fr-FR" w:eastAsia="fr-FR"/>
    </w:rPr>
  </w:style>
  <w:style w:type="character" w:customStyle="1" w:styleId="hps">
    <w:name w:val="hps"/>
    <w:basedOn w:val="Policepardfaut"/>
    <w:rsid w:val="009D4865"/>
  </w:style>
  <w:style w:type="paragraph" w:customStyle="1" w:styleId="Default">
    <w:name w:val="Default"/>
    <w:rsid w:val="00D772F6"/>
    <w:pPr>
      <w:autoSpaceDE w:val="0"/>
      <w:autoSpaceDN w:val="0"/>
      <w:adjustRightInd w:val="0"/>
    </w:pPr>
    <w:rPr>
      <w:rFonts w:ascii="Arial" w:hAnsi="Arial"/>
      <w:color w:val="000000"/>
      <w:sz w:val="24"/>
      <w:szCs w:val="24"/>
      <w:lang w:val="fr-FR" w:eastAsia="fr-FR"/>
    </w:rPr>
  </w:style>
  <w:style w:type="character" w:styleId="Accentuation">
    <w:name w:val="Emphasis"/>
    <w:uiPriority w:val="20"/>
    <w:qFormat/>
    <w:rsid w:val="009A1B37"/>
    <w:rPr>
      <w:i/>
      <w:iCs/>
    </w:rPr>
  </w:style>
  <w:style w:type="character" w:styleId="Lienhypertextesuivivisit">
    <w:name w:val="FollowedHyperlink"/>
    <w:uiPriority w:val="99"/>
    <w:semiHidden/>
    <w:unhideWhenUsed/>
    <w:rsid w:val="001458BD"/>
    <w:rPr>
      <w:color w:val="800080"/>
      <w:u w:val="single"/>
    </w:rPr>
  </w:style>
  <w:style w:type="character" w:styleId="Marquedecommentaire">
    <w:name w:val="annotation reference"/>
    <w:uiPriority w:val="99"/>
    <w:semiHidden/>
    <w:unhideWhenUsed/>
    <w:rsid w:val="00E43523"/>
    <w:rPr>
      <w:sz w:val="16"/>
      <w:szCs w:val="16"/>
    </w:rPr>
  </w:style>
  <w:style w:type="paragraph" w:styleId="Commentaire">
    <w:name w:val="annotation text"/>
    <w:basedOn w:val="Normal"/>
    <w:link w:val="CommentaireCar"/>
    <w:uiPriority w:val="99"/>
    <w:semiHidden/>
    <w:unhideWhenUsed/>
    <w:rsid w:val="00E43523"/>
    <w:rPr>
      <w:sz w:val="20"/>
      <w:szCs w:val="20"/>
    </w:rPr>
  </w:style>
  <w:style w:type="character" w:customStyle="1" w:styleId="CommentaireCar">
    <w:name w:val="Commentaire Car"/>
    <w:basedOn w:val="Policepardfaut"/>
    <w:link w:val="Commentaire"/>
    <w:uiPriority w:val="99"/>
    <w:semiHidden/>
    <w:rsid w:val="00E43523"/>
    <w:rPr>
      <w:rFonts w:ascii="Arial" w:eastAsia="Times New Roman" w:hAnsi="Arial"/>
      <w:lang w:val="en-GB" w:eastAsia="fr-FR"/>
    </w:rPr>
  </w:style>
  <w:style w:type="paragraph" w:styleId="Rvision">
    <w:name w:val="Revision"/>
    <w:hidden/>
    <w:uiPriority w:val="99"/>
    <w:semiHidden/>
    <w:rsid w:val="00907F13"/>
    <w:rPr>
      <w:rFonts w:ascii="Arial" w:eastAsia="Times New Roman" w:hAnsi="Arial"/>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comec.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D8E84-555C-42A6-87E9-B45AAB92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2633</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3088</CharactersWithSpaces>
  <SharedDoc>false</SharedDoc>
  <HLinks>
    <vt:vector size="18" baseType="variant">
      <vt:variant>
        <vt:i4>3866740</vt:i4>
      </vt:variant>
      <vt:variant>
        <vt:i4>6</vt:i4>
      </vt:variant>
      <vt:variant>
        <vt:i4>0</vt:i4>
      </vt:variant>
      <vt:variant>
        <vt:i4>5</vt:i4>
      </vt:variant>
      <vt:variant>
        <vt:lpwstr>http://www.socomec.com/</vt:lpwstr>
      </vt:variant>
      <vt:variant>
        <vt:lpwstr/>
      </vt:variant>
      <vt:variant>
        <vt:i4>4653170</vt:i4>
      </vt:variant>
      <vt:variant>
        <vt:i4>3</vt:i4>
      </vt:variant>
      <vt:variant>
        <vt:i4>0</vt:i4>
      </vt:variant>
      <vt:variant>
        <vt:i4>5</vt:i4>
      </vt:variant>
      <vt:variant>
        <vt:lpwstr>http://www.socomec.com/measurement-energy-management-analyze_en.html</vt:lpwstr>
      </vt:variant>
      <vt:variant>
        <vt:lpwstr/>
      </vt:variant>
      <vt:variant>
        <vt:i4>5898312</vt:i4>
      </vt:variant>
      <vt:variant>
        <vt:i4>0</vt:i4>
      </vt:variant>
      <vt:variant>
        <vt:i4>0</vt:i4>
      </vt:variant>
      <vt:variant>
        <vt:i4>5</vt:i4>
      </vt:variant>
      <vt:variant>
        <vt:lpwstr>http://www.socomec.com/range-multi-circuit-metering-measurement_en.html?product=/diris-digiware_en.html&amp;view=picture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BEILICH Camille</dc:creator>
  <cp:lastModifiedBy>EDEL Marion</cp:lastModifiedBy>
  <cp:revision>9</cp:revision>
  <cp:lastPrinted>2014-07-30T13:28:00Z</cp:lastPrinted>
  <dcterms:created xsi:type="dcterms:W3CDTF">2014-10-24T08:42:00Z</dcterms:created>
  <dcterms:modified xsi:type="dcterms:W3CDTF">2015-05-05T13:27:00Z</dcterms:modified>
</cp:coreProperties>
</file>