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BEC50" w14:textId="77777777" w:rsidR="00236584" w:rsidRPr="00E57B6B" w:rsidRDefault="00236584" w:rsidP="00236584">
      <w:pPr>
        <w:rPr>
          <w:b/>
          <w:bCs/>
          <w:color w:val="1F497D"/>
          <w:sz w:val="40"/>
          <w:szCs w:val="36"/>
        </w:rPr>
      </w:pPr>
      <w:r w:rsidRPr="00E57B6B">
        <w:rPr>
          <w:b/>
          <w:bCs/>
          <w:color w:val="1F497D"/>
          <w:sz w:val="40"/>
          <w:szCs w:val="40"/>
        </w:rPr>
        <w:t>MODULYS GP “Green Power 2.0”: a new modular solution completes the Socomec Critical Power offering</w:t>
      </w:r>
    </w:p>
    <w:p w14:paraId="553BEC51" w14:textId="77777777" w:rsidR="00236584" w:rsidRPr="00E57B6B" w:rsidRDefault="00236584" w:rsidP="00236584">
      <w:pPr>
        <w:jc w:val="center"/>
        <w:rPr>
          <w:rStyle w:val="Accentuation"/>
        </w:rPr>
      </w:pPr>
    </w:p>
    <w:p w14:paraId="553BEC52" w14:textId="77777777" w:rsidR="00236584" w:rsidRPr="00E57B6B" w:rsidRDefault="00236584" w:rsidP="00236584">
      <w:pPr>
        <w:spacing w:after="120"/>
        <w:rPr>
          <w:sz w:val="22"/>
          <w:szCs w:val="22"/>
          <w:lang w:eastAsia="zh-CN"/>
        </w:rPr>
      </w:pPr>
    </w:p>
    <w:p w14:paraId="553BEC53" w14:textId="77777777" w:rsidR="00236584" w:rsidRPr="00E57B6B" w:rsidRDefault="00236584" w:rsidP="00236584">
      <w:pPr>
        <w:spacing w:after="120"/>
        <w:rPr>
          <w:sz w:val="22"/>
          <w:szCs w:val="22"/>
          <w:lang w:eastAsia="zh-CN"/>
        </w:rPr>
      </w:pPr>
    </w:p>
    <w:p w14:paraId="553BEC54" w14:textId="77777777" w:rsidR="00DE22B8" w:rsidRPr="00E57B6B" w:rsidRDefault="00236584" w:rsidP="00236584">
      <w:pPr>
        <w:jc w:val="both"/>
        <w:rPr>
          <w:color w:val="404040"/>
          <w:sz w:val="22"/>
          <w:szCs w:val="22"/>
          <w:lang w:eastAsia="zh-CN"/>
        </w:rPr>
      </w:pPr>
      <w:r w:rsidRPr="00E57B6B">
        <w:rPr>
          <w:sz w:val="22"/>
          <w:szCs w:val="22"/>
          <w:lang w:eastAsia="zh-CN"/>
        </w:rPr>
        <w:t>Benfeld</w:t>
      </w:r>
      <w:r w:rsidR="00DE22B8" w:rsidRPr="00E57B6B">
        <w:rPr>
          <w:color w:val="404040"/>
          <w:sz w:val="22"/>
          <w:szCs w:val="22"/>
          <w:lang w:eastAsia="zh-CN"/>
        </w:rPr>
        <w:t xml:space="preserve">, </w:t>
      </w:r>
      <w:r w:rsidRPr="00E57B6B">
        <w:rPr>
          <w:color w:val="404040"/>
          <w:sz w:val="22"/>
          <w:szCs w:val="22"/>
          <w:lang w:eastAsia="zh-CN"/>
        </w:rPr>
        <w:t>September 2014</w:t>
      </w:r>
    </w:p>
    <w:p w14:paraId="553BEC55" w14:textId="77777777" w:rsidR="001B46AB" w:rsidRPr="00E57B6B" w:rsidRDefault="001B46AB" w:rsidP="00F13F4C">
      <w:pPr>
        <w:spacing w:after="120"/>
        <w:jc w:val="both"/>
        <w:rPr>
          <w:b/>
          <w:bCs/>
          <w:i/>
          <w:iCs/>
          <w:color w:val="404040"/>
          <w:sz w:val="22"/>
          <w:szCs w:val="22"/>
        </w:rPr>
      </w:pPr>
    </w:p>
    <w:p w14:paraId="553BEC56" w14:textId="77777777" w:rsidR="00236584" w:rsidRPr="00E57B6B" w:rsidRDefault="00236584" w:rsidP="00236584">
      <w:pPr>
        <w:autoSpaceDE w:val="0"/>
        <w:autoSpaceDN w:val="0"/>
        <w:jc w:val="both"/>
        <w:rPr>
          <w:color w:val="000000"/>
          <w:sz w:val="22"/>
          <w:szCs w:val="22"/>
        </w:rPr>
      </w:pPr>
      <w:r w:rsidRPr="00E57B6B">
        <w:rPr>
          <w:color w:val="000000"/>
          <w:sz w:val="22"/>
          <w:szCs w:val="22"/>
        </w:rPr>
        <w:t>Privately owned European UPS manufacturer, Socomec, further strengthens its market-leading position with the launch of the new MODULYS GP solution.</w:t>
      </w:r>
    </w:p>
    <w:p w14:paraId="553BEC57" w14:textId="77777777" w:rsidR="00236584" w:rsidRPr="00E57B6B" w:rsidRDefault="00236584" w:rsidP="00236584">
      <w:pPr>
        <w:autoSpaceDE w:val="0"/>
        <w:autoSpaceDN w:val="0"/>
        <w:jc w:val="both"/>
        <w:rPr>
          <w:color w:val="000000"/>
          <w:sz w:val="22"/>
          <w:szCs w:val="22"/>
        </w:rPr>
      </w:pPr>
    </w:p>
    <w:p w14:paraId="553BEC58" w14:textId="77777777" w:rsidR="00236584" w:rsidRPr="00E57B6B" w:rsidRDefault="00236584" w:rsidP="00236584">
      <w:pPr>
        <w:autoSpaceDE w:val="0"/>
        <w:autoSpaceDN w:val="0"/>
        <w:adjustRightInd w:val="0"/>
        <w:jc w:val="both"/>
        <w:rPr>
          <w:b/>
          <w:bCs/>
          <w:i/>
          <w:iCs/>
          <w:color w:val="FF0000"/>
          <w:sz w:val="22"/>
          <w:szCs w:val="22"/>
        </w:rPr>
      </w:pPr>
      <w:r w:rsidRPr="00E57B6B">
        <w:rPr>
          <w:color w:val="000000"/>
          <w:sz w:val="22"/>
          <w:szCs w:val="22"/>
        </w:rPr>
        <w:t xml:space="preserve">A result of extensive engineering and in-depth analysis of customer needs, this 100% modular and fully redundant solution in the 50-600 kW power range completes the Green Power 2.0 family. The MODULYS GP Uninterruptible Power Supply (UPS) not only ensures the highest levels of power availability and scalability for critical IT infrastructure, but also provides the necessary margin for </w:t>
      </w:r>
      <w:r w:rsidR="003D63AB" w:rsidRPr="00E57B6B">
        <w:rPr>
          <w:color w:val="000000"/>
          <w:sz w:val="22"/>
          <w:szCs w:val="22"/>
        </w:rPr>
        <w:t>unforeseen</w:t>
      </w:r>
      <w:r w:rsidRPr="00E57B6B">
        <w:rPr>
          <w:color w:val="000000"/>
          <w:sz w:val="22"/>
          <w:szCs w:val="22"/>
        </w:rPr>
        <w:t xml:space="preserve"> evolutions in the design of secure infrastructure projects.</w:t>
      </w:r>
    </w:p>
    <w:p w14:paraId="553BEC59" w14:textId="77777777" w:rsidR="00236584" w:rsidRPr="00E57B6B" w:rsidRDefault="00236584" w:rsidP="00236584">
      <w:pPr>
        <w:autoSpaceDE w:val="0"/>
        <w:autoSpaceDN w:val="0"/>
        <w:jc w:val="both"/>
        <w:rPr>
          <w:color w:val="000000"/>
          <w:sz w:val="22"/>
          <w:szCs w:val="22"/>
        </w:rPr>
      </w:pPr>
    </w:p>
    <w:p w14:paraId="553BEC5A" w14:textId="59C774FC" w:rsidR="00236584" w:rsidRPr="00E57B6B" w:rsidRDefault="00236584" w:rsidP="00236584">
      <w:pPr>
        <w:autoSpaceDE w:val="0"/>
        <w:autoSpaceDN w:val="0"/>
        <w:jc w:val="both"/>
        <w:rPr>
          <w:color w:val="000000"/>
          <w:sz w:val="22"/>
          <w:szCs w:val="22"/>
        </w:rPr>
      </w:pPr>
      <w:r w:rsidRPr="00E57B6B">
        <w:rPr>
          <w:color w:val="000000"/>
          <w:sz w:val="22"/>
          <w:szCs w:val="22"/>
        </w:rPr>
        <w:t xml:space="preserve">To meet the constantly evolving demands on energy performance within today’s IT </w:t>
      </w:r>
      <w:proofErr w:type="gramStart"/>
      <w:r w:rsidRPr="00E57B6B">
        <w:rPr>
          <w:color w:val="000000"/>
          <w:sz w:val="22"/>
          <w:szCs w:val="22"/>
        </w:rPr>
        <w:t>infrastructures,</w:t>
      </w:r>
      <w:proofErr w:type="gramEnd"/>
      <w:r w:rsidRPr="00E57B6B">
        <w:rPr>
          <w:color w:val="000000"/>
          <w:sz w:val="22"/>
          <w:szCs w:val="22"/>
        </w:rPr>
        <w:t xml:space="preserve"> this latest extension to the range has been designed around a system of redundant </w:t>
      </w:r>
      <w:r w:rsidR="008A338A">
        <w:rPr>
          <w:color w:val="000000"/>
          <w:sz w:val="22"/>
          <w:szCs w:val="22"/>
        </w:rPr>
        <w:t xml:space="preserve">double </w:t>
      </w:r>
      <w:r w:rsidRPr="00E57B6B">
        <w:rPr>
          <w:color w:val="000000"/>
          <w:sz w:val="22"/>
          <w:szCs w:val="22"/>
        </w:rPr>
        <w:t xml:space="preserve">conversion modules. The interconnected power and hot-swap battery modules means installation couldn’t be easier - as well as offering unbeatable flexibility for any future power demand upgrades. MODULYS GP is the result of </w:t>
      </w:r>
      <w:proofErr w:type="spellStart"/>
      <w:r w:rsidRPr="00E57B6B">
        <w:rPr>
          <w:color w:val="000000"/>
          <w:sz w:val="22"/>
          <w:szCs w:val="22"/>
        </w:rPr>
        <w:t>Socomec’s</w:t>
      </w:r>
      <w:proofErr w:type="spellEnd"/>
      <w:r w:rsidRPr="00E57B6B">
        <w:rPr>
          <w:color w:val="000000"/>
          <w:sz w:val="22"/>
          <w:szCs w:val="22"/>
        </w:rPr>
        <w:t xml:space="preserve"> 20 years of experience in providing modular solutions.</w:t>
      </w:r>
    </w:p>
    <w:p w14:paraId="553BEC5B" w14:textId="77777777" w:rsidR="00236584" w:rsidRPr="00E57B6B" w:rsidRDefault="00236584" w:rsidP="00236584">
      <w:pPr>
        <w:autoSpaceDE w:val="0"/>
        <w:autoSpaceDN w:val="0"/>
        <w:jc w:val="both"/>
        <w:rPr>
          <w:color w:val="000000"/>
          <w:sz w:val="22"/>
          <w:szCs w:val="22"/>
        </w:rPr>
      </w:pPr>
    </w:p>
    <w:p w14:paraId="553BEC5C" w14:textId="77777777" w:rsidR="00236584" w:rsidRPr="00E57B6B" w:rsidRDefault="00236584" w:rsidP="00236584">
      <w:pPr>
        <w:autoSpaceDE w:val="0"/>
        <w:autoSpaceDN w:val="0"/>
        <w:jc w:val="both"/>
        <w:rPr>
          <w:color w:val="000000"/>
          <w:sz w:val="22"/>
          <w:szCs w:val="22"/>
        </w:rPr>
      </w:pPr>
      <w:r w:rsidRPr="00E57B6B">
        <w:rPr>
          <w:color w:val="000000"/>
          <w:sz w:val="22"/>
          <w:szCs w:val="22"/>
        </w:rPr>
        <w:t>The architecture, incorporating an innovative “Forever Young” concept, combines a user-friendly system with the rapid implementation of many associated professional service packages. For example, maintenance operations can be carried out safely without interruption to the load. The system can also be upgraded at any point of its operational life cycle.</w:t>
      </w:r>
    </w:p>
    <w:p w14:paraId="553BEC5D" w14:textId="77777777" w:rsidR="00236584" w:rsidRPr="00E57B6B" w:rsidRDefault="00236584" w:rsidP="00236584">
      <w:pPr>
        <w:autoSpaceDE w:val="0"/>
        <w:autoSpaceDN w:val="0"/>
        <w:jc w:val="both"/>
        <w:rPr>
          <w:color w:val="000000"/>
          <w:sz w:val="22"/>
          <w:szCs w:val="22"/>
        </w:rPr>
      </w:pPr>
    </w:p>
    <w:p w14:paraId="553BEC5E" w14:textId="77777777" w:rsidR="00236584" w:rsidRPr="00E57B6B" w:rsidRDefault="00236584" w:rsidP="00236584">
      <w:pPr>
        <w:autoSpaceDE w:val="0"/>
        <w:autoSpaceDN w:val="0"/>
        <w:jc w:val="both"/>
        <w:rPr>
          <w:color w:val="000000"/>
          <w:sz w:val="22"/>
          <w:szCs w:val="22"/>
        </w:rPr>
      </w:pPr>
      <w:r w:rsidRPr="00E57B6B">
        <w:rPr>
          <w:color w:val="000000"/>
          <w:sz w:val="22"/>
          <w:szCs w:val="22"/>
        </w:rPr>
        <w:t xml:space="preserve">MODULYS GP integrates all the technological advances of </w:t>
      </w:r>
      <w:proofErr w:type="spellStart"/>
      <w:r w:rsidRPr="00E57B6B">
        <w:rPr>
          <w:color w:val="000000"/>
          <w:sz w:val="22"/>
          <w:szCs w:val="22"/>
        </w:rPr>
        <w:t>Socomec’s</w:t>
      </w:r>
      <w:proofErr w:type="spellEnd"/>
      <w:r w:rsidRPr="00E57B6B">
        <w:rPr>
          <w:color w:val="000000"/>
          <w:sz w:val="22"/>
          <w:szCs w:val="22"/>
        </w:rPr>
        <w:t xml:space="preserve"> Green Power 2.0 range, especially the optimum VFI output and unitary power factor that offers the highest power density currently on the market. The range maintains its benchmark position both in terms of its reduced footprint and energy savings.</w:t>
      </w:r>
    </w:p>
    <w:p w14:paraId="553BEC5F" w14:textId="77777777" w:rsidR="00236584" w:rsidRPr="00E57B6B" w:rsidRDefault="00236584" w:rsidP="00236584">
      <w:pPr>
        <w:autoSpaceDE w:val="0"/>
        <w:autoSpaceDN w:val="0"/>
        <w:jc w:val="both"/>
        <w:rPr>
          <w:color w:val="000000"/>
          <w:sz w:val="22"/>
          <w:szCs w:val="22"/>
        </w:rPr>
      </w:pPr>
    </w:p>
    <w:p w14:paraId="553BEC60" w14:textId="77777777" w:rsidR="00236584" w:rsidRPr="00E57B6B" w:rsidRDefault="00236584" w:rsidP="00236584">
      <w:pPr>
        <w:autoSpaceDE w:val="0"/>
        <w:autoSpaceDN w:val="0"/>
        <w:jc w:val="both"/>
        <w:rPr>
          <w:sz w:val="22"/>
          <w:szCs w:val="22"/>
        </w:rPr>
      </w:pPr>
      <w:r w:rsidRPr="00E57B6B">
        <w:rPr>
          <w:color w:val="000000"/>
          <w:sz w:val="22"/>
          <w:szCs w:val="22"/>
        </w:rPr>
        <w:t xml:space="preserve">The new MODULYS GP range has been developed and manufactured by the company’s centre of expertise in Italy and benefits from the latest advances in </w:t>
      </w:r>
      <w:proofErr w:type="spellStart"/>
      <w:r w:rsidRPr="00E57B6B">
        <w:rPr>
          <w:color w:val="000000"/>
          <w:sz w:val="22"/>
          <w:szCs w:val="22"/>
        </w:rPr>
        <w:t>Socomec’s</w:t>
      </w:r>
      <w:proofErr w:type="spellEnd"/>
      <w:r w:rsidRPr="00E57B6B">
        <w:rPr>
          <w:color w:val="000000"/>
          <w:sz w:val="22"/>
          <w:szCs w:val="22"/>
        </w:rPr>
        <w:t xml:space="preserve"> Lean production processes.</w:t>
      </w:r>
      <w:r w:rsidRPr="00E57B6B">
        <w:rPr>
          <w:sz w:val="22"/>
          <w:szCs w:val="22"/>
        </w:rPr>
        <w:t xml:space="preserve"> </w:t>
      </w:r>
    </w:p>
    <w:p w14:paraId="553BEC61" w14:textId="77777777" w:rsidR="00236584" w:rsidRPr="00E57B6B" w:rsidRDefault="00236584" w:rsidP="00236584">
      <w:pPr>
        <w:autoSpaceDE w:val="0"/>
        <w:autoSpaceDN w:val="0"/>
        <w:jc w:val="both"/>
        <w:rPr>
          <w:color w:val="FF0000"/>
          <w:sz w:val="22"/>
          <w:szCs w:val="22"/>
        </w:rPr>
      </w:pPr>
    </w:p>
    <w:p w14:paraId="553BEC62" w14:textId="77777777" w:rsidR="00236584" w:rsidRPr="00E57B6B" w:rsidRDefault="00236584" w:rsidP="00236584">
      <w:pPr>
        <w:autoSpaceDE w:val="0"/>
        <w:autoSpaceDN w:val="0"/>
        <w:jc w:val="both"/>
        <w:rPr>
          <w:color w:val="000000"/>
          <w:sz w:val="22"/>
          <w:szCs w:val="22"/>
        </w:rPr>
      </w:pPr>
      <w:r w:rsidRPr="00E57B6B">
        <w:rPr>
          <w:sz w:val="22"/>
          <w:szCs w:val="22"/>
        </w:rPr>
        <w:t>It is designed to operate in compliance with the EU Code of Conduct (</w:t>
      </w:r>
      <w:proofErr w:type="spellStart"/>
      <w:r w:rsidRPr="00E57B6B">
        <w:rPr>
          <w:sz w:val="22"/>
          <w:szCs w:val="22"/>
        </w:rPr>
        <w:t>CoC</w:t>
      </w:r>
      <w:proofErr w:type="spellEnd"/>
      <w:r w:rsidRPr="00E57B6B">
        <w:rPr>
          <w:sz w:val="22"/>
          <w:szCs w:val="22"/>
        </w:rPr>
        <w:t>) governing data centres that aims to reduce energy consumption and carbon emissions.</w:t>
      </w:r>
    </w:p>
    <w:p w14:paraId="553BEC63" w14:textId="77777777" w:rsidR="00236584" w:rsidRPr="00E57B6B" w:rsidRDefault="00236584" w:rsidP="00236584">
      <w:pPr>
        <w:autoSpaceDE w:val="0"/>
        <w:autoSpaceDN w:val="0"/>
        <w:jc w:val="both"/>
        <w:rPr>
          <w:color w:val="000000"/>
          <w:sz w:val="22"/>
          <w:szCs w:val="22"/>
        </w:rPr>
      </w:pPr>
    </w:p>
    <w:p w14:paraId="553BEC64" w14:textId="77777777" w:rsidR="00236584" w:rsidRPr="00E57B6B" w:rsidRDefault="00236584" w:rsidP="00236584">
      <w:pPr>
        <w:pStyle w:val="NormalWeb"/>
        <w:spacing w:after="120"/>
        <w:rPr>
          <w:rFonts w:ascii="Arial" w:hAnsi="Arial" w:cs="Arial"/>
          <w:b/>
          <w:bCs/>
          <w:sz w:val="22"/>
          <w:szCs w:val="22"/>
          <w:lang w:val="en-GB"/>
        </w:rPr>
      </w:pPr>
    </w:p>
    <w:p w14:paraId="553BEC65" w14:textId="77777777" w:rsidR="00236584" w:rsidRPr="00E57B6B" w:rsidRDefault="00236584" w:rsidP="00236584">
      <w:pPr>
        <w:pStyle w:val="NormalWeb"/>
        <w:spacing w:after="120"/>
        <w:rPr>
          <w:rFonts w:ascii="Arial" w:hAnsi="Arial" w:cs="Arial"/>
          <w:b/>
          <w:sz w:val="22"/>
          <w:szCs w:val="22"/>
          <w:lang w:val="en-GB"/>
        </w:rPr>
      </w:pPr>
      <w:r w:rsidRPr="00E57B6B">
        <w:rPr>
          <w:rFonts w:ascii="Arial" w:hAnsi="Arial" w:cs="Arial"/>
          <w:b/>
          <w:sz w:val="22"/>
          <w:szCs w:val="22"/>
          <w:lang w:val="en-GB"/>
        </w:rPr>
        <w:t>Certification and verifications</w:t>
      </w:r>
    </w:p>
    <w:p w14:paraId="553BEC66" w14:textId="77777777" w:rsidR="00236584" w:rsidRPr="00E57B6B" w:rsidRDefault="00236584" w:rsidP="00236584">
      <w:pPr>
        <w:numPr>
          <w:ilvl w:val="0"/>
          <w:numId w:val="8"/>
        </w:numPr>
        <w:ind w:left="170" w:hanging="170"/>
        <w:rPr>
          <w:sz w:val="22"/>
          <w:szCs w:val="22"/>
        </w:rPr>
      </w:pPr>
      <w:r w:rsidRPr="00E57B6B">
        <w:rPr>
          <w:sz w:val="22"/>
          <w:szCs w:val="22"/>
        </w:rPr>
        <w:t>The output and performance levels of the MODULYS GP have been tested and verified by an independent body</w:t>
      </w:r>
    </w:p>
    <w:p w14:paraId="553BEC67" w14:textId="77777777" w:rsidR="00236584" w:rsidRPr="00E57B6B" w:rsidRDefault="00236584" w:rsidP="00236584">
      <w:pPr>
        <w:numPr>
          <w:ilvl w:val="0"/>
          <w:numId w:val="8"/>
        </w:numPr>
        <w:autoSpaceDE w:val="0"/>
        <w:autoSpaceDN w:val="0"/>
        <w:adjustRightInd w:val="0"/>
        <w:ind w:left="170" w:hanging="170"/>
        <w:rPr>
          <w:sz w:val="22"/>
          <w:szCs w:val="22"/>
        </w:rPr>
      </w:pPr>
      <w:r w:rsidRPr="00E57B6B">
        <w:rPr>
          <w:sz w:val="22"/>
          <w:szCs w:val="22"/>
        </w:rPr>
        <w:lastRenderedPageBreak/>
        <w:t>The first of its kind on the market, the MTBF value of the power modules has been certified as having the highest ranking on the market by an independent body (IEC 62380)</w:t>
      </w:r>
    </w:p>
    <w:p w14:paraId="553BEC68" w14:textId="77777777" w:rsidR="00236584" w:rsidRPr="00E57B6B" w:rsidRDefault="00236584" w:rsidP="00236584">
      <w:pPr>
        <w:numPr>
          <w:ilvl w:val="0"/>
          <w:numId w:val="8"/>
        </w:numPr>
        <w:ind w:left="170" w:hanging="170"/>
        <w:rPr>
          <w:sz w:val="22"/>
          <w:szCs w:val="22"/>
        </w:rPr>
      </w:pPr>
      <w:r w:rsidRPr="00E57B6B">
        <w:rPr>
          <w:sz w:val="22"/>
          <w:szCs w:val="22"/>
        </w:rPr>
        <w:t xml:space="preserve">The manufacturing site is ISO 9001:2008 and ISO 14000:2004 certified. </w:t>
      </w:r>
    </w:p>
    <w:p w14:paraId="553BEC69" w14:textId="77777777" w:rsidR="00236584" w:rsidRPr="00E57B6B" w:rsidRDefault="00236584" w:rsidP="00236584">
      <w:pPr>
        <w:autoSpaceDE w:val="0"/>
        <w:autoSpaceDN w:val="0"/>
        <w:adjustRightInd w:val="0"/>
        <w:ind w:left="142" w:hanging="142"/>
        <w:rPr>
          <w:sz w:val="22"/>
          <w:szCs w:val="22"/>
        </w:rPr>
      </w:pPr>
    </w:p>
    <w:p w14:paraId="553BEC6A" w14:textId="77777777" w:rsidR="00236584" w:rsidRPr="00E57B6B" w:rsidRDefault="00236584" w:rsidP="00236584">
      <w:pPr>
        <w:tabs>
          <w:tab w:val="left" w:pos="2100"/>
        </w:tabs>
        <w:jc w:val="both"/>
        <w:rPr>
          <w:sz w:val="22"/>
          <w:szCs w:val="22"/>
        </w:rPr>
      </w:pPr>
    </w:p>
    <w:p w14:paraId="553BEC6B" w14:textId="77777777" w:rsidR="00236584" w:rsidRPr="00E57B6B" w:rsidRDefault="00236584" w:rsidP="00236584">
      <w:pPr>
        <w:tabs>
          <w:tab w:val="left" w:pos="2100"/>
        </w:tabs>
        <w:jc w:val="both"/>
        <w:rPr>
          <w:sz w:val="22"/>
          <w:szCs w:val="22"/>
        </w:rPr>
      </w:pPr>
    </w:p>
    <w:p w14:paraId="553BEC6C" w14:textId="77777777" w:rsidR="00236584" w:rsidRPr="00E57B6B" w:rsidRDefault="00236584" w:rsidP="00236584">
      <w:pPr>
        <w:rPr>
          <w:b/>
          <w:sz w:val="22"/>
          <w:szCs w:val="22"/>
        </w:rPr>
      </w:pPr>
      <w:r w:rsidRPr="00E57B6B">
        <w:rPr>
          <w:b/>
          <w:sz w:val="22"/>
          <w:szCs w:val="22"/>
        </w:rPr>
        <w:t>Key facts</w:t>
      </w:r>
    </w:p>
    <w:p w14:paraId="553BEC6D" w14:textId="77777777" w:rsidR="00236584" w:rsidRPr="00E57B6B" w:rsidRDefault="00236584" w:rsidP="00236584">
      <w:pPr>
        <w:pStyle w:val="NormalWeb"/>
        <w:numPr>
          <w:ilvl w:val="0"/>
          <w:numId w:val="4"/>
        </w:numPr>
        <w:spacing w:after="120"/>
        <w:rPr>
          <w:rFonts w:ascii="Arial" w:hAnsi="Arial" w:cs="Arial"/>
          <w:sz w:val="22"/>
          <w:szCs w:val="22"/>
          <w:lang w:val="en-GB"/>
        </w:rPr>
      </w:pPr>
      <w:r w:rsidRPr="00E57B6B">
        <w:rPr>
          <w:rFonts w:ascii="Arial" w:hAnsi="Arial" w:cs="Arial"/>
          <w:sz w:val="22"/>
          <w:szCs w:val="22"/>
          <w:lang w:val="en-GB"/>
        </w:rPr>
        <w:t>100% modular and 100% redundant UPS, 100% SOCOMEC and 100% European</w:t>
      </w:r>
    </w:p>
    <w:p w14:paraId="553BEC6E" w14:textId="77777777" w:rsidR="00236584" w:rsidRPr="00E57B6B" w:rsidRDefault="00236584" w:rsidP="00236584">
      <w:pPr>
        <w:pStyle w:val="NormalWeb"/>
        <w:numPr>
          <w:ilvl w:val="0"/>
          <w:numId w:val="4"/>
        </w:numPr>
        <w:spacing w:after="120"/>
        <w:rPr>
          <w:rFonts w:ascii="Arial" w:hAnsi="Arial" w:cs="Arial"/>
          <w:sz w:val="22"/>
          <w:szCs w:val="22"/>
          <w:lang w:val="en-GB"/>
        </w:rPr>
      </w:pPr>
      <w:r w:rsidRPr="00E57B6B">
        <w:rPr>
          <w:rFonts w:ascii="Arial" w:hAnsi="Arial" w:cs="Arial"/>
          <w:sz w:val="22"/>
          <w:szCs w:val="22"/>
          <w:lang w:val="en-GB"/>
        </w:rPr>
        <w:t xml:space="preserve">No single point of failure </w:t>
      </w:r>
    </w:p>
    <w:p w14:paraId="553BEC6F" w14:textId="05E91D3A" w:rsidR="00236584" w:rsidRPr="00E57B6B" w:rsidRDefault="00236584" w:rsidP="00236584">
      <w:pPr>
        <w:pStyle w:val="NormalWeb"/>
        <w:numPr>
          <w:ilvl w:val="0"/>
          <w:numId w:val="4"/>
        </w:numPr>
        <w:spacing w:after="120"/>
        <w:rPr>
          <w:rFonts w:ascii="Arial" w:hAnsi="Arial" w:cs="Arial"/>
          <w:sz w:val="22"/>
          <w:szCs w:val="22"/>
          <w:lang w:val="en-GB"/>
        </w:rPr>
      </w:pPr>
      <w:r w:rsidRPr="00E57B6B">
        <w:rPr>
          <w:rFonts w:ascii="Arial" w:hAnsi="Arial" w:cs="Arial"/>
          <w:sz w:val="22"/>
          <w:szCs w:val="22"/>
          <w:lang w:val="en-GB"/>
        </w:rPr>
        <w:t>System flexibility and scalabi</w:t>
      </w:r>
      <w:r w:rsidR="00E57B6B" w:rsidRPr="00E57B6B">
        <w:rPr>
          <w:rFonts w:ascii="Arial" w:hAnsi="Arial" w:cs="Arial"/>
          <w:sz w:val="22"/>
          <w:szCs w:val="22"/>
          <w:lang w:val="en-GB"/>
        </w:rPr>
        <w:t>l</w:t>
      </w:r>
      <w:r w:rsidRPr="00E57B6B">
        <w:rPr>
          <w:rFonts w:ascii="Arial" w:hAnsi="Arial" w:cs="Arial"/>
          <w:sz w:val="22"/>
          <w:szCs w:val="22"/>
          <w:lang w:val="en-GB"/>
        </w:rPr>
        <w:t>ity guaranteed during the service life of the IT infrastructure</w:t>
      </w:r>
    </w:p>
    <w:p w14:paraId="553BEC70" w14:textId="77777777" w:rsidR="00236584" w:rsidRPr="00E57B6B" w:rsidRDefault="00236584" w:rsidP="00236584">
      <w:pPr>
        <w:pStyle w:val="NormalWeb"/>
        <w:spacing w:after="120"/>
        <w:rPr>
          <w:rFonts w:ascii="Arial" w:hAnsi="Arial" w:cs="Arial"/>
          <w:b/>
          <w:sz w:val="22"/>
          <w:szCs w:val="22"/>
          <w:lang w:val="en-GB"/>
        </w:rPr>
      </w:pPr>
    </w:p>
    <w:p w14:paraId="553BEC71" w14:textId="77777777" w:rsidR="00236584" w:rsidRPr="00E57B6B" w:rsidRDefault="00236584" w:rsidP="00236584">
      <w:pPr>
        <w:pStyle w:val="NormalWeb"/>
        <w:spacing w:after="120"/>
        <w:rPr>
          <w:rFonts w:ascii="Arial" w:hAnsi="Arial" w:cs="Arial"/>
          <w:b/>
          <w:sz w:val="22"/>
          <w:szCs w:val="22"/>
          <w:lang w:val="en-GB"/>
        </w:rPr>
      </w:pPr>
      <w:r w:rsidRPr="00E57B6B">
        <w:rPr>
          <w:rFonts w:ascii="Arial" w:hAnsi="Arial" w:cs="Arial"/>
          <w:b/>
          <w:sz w:val="22"/>
          <w:szCs w:val="22"/>
          <w:lang w:val="en-GB"/>
        </w:rPr>
        <w:t>Photo</w:t>
      </w:r>
    </w:p>
    <w:p w14:paraId="553BEC72" w14:textId="77777777" w:rsidR="00236584" w:rsidRPr="00E57B6B" w:rsidRDefault="00236584" w:rsidP="00236584">
      <w:pPr>
        <w:pStyle w:val="NormalWeb"/>
        <w:spacing w:after="120"/>
        <w:rPr>
          <w:rFonts w:ascii="Arial" w:hAnsi="Arial" w:cs="Arial"/>
          <w:b/>
          <w:sz w:val="22"/>
          <w:szCs w:val="22"/>
          <w:lang w:val="en-GB"/>
        </w:rPr>
      </w:pPr>
      <w:r w:rsidRPr="00E57B6B">
        <w:rPr>
          <w:noProof/>
          <w:lang w:val="en-US" w:eastAsia="en-US"/>
        </w:rPr>
        <w:drawing>
          <wp:inline distT="0" distB="0" distL="0" distR="0" wp14:anchorId="553BEC87" wp14:editId="553BEC88">
            <wp:extent cx="1226185" cy="329755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185" cy="3297555"/>
                    </a:xfrm>
                    <a:prstGeom prst="rect">
                      <a:avLst/>
                    </a:prstGeom>
                    <a:noFill/>
                    <a:ln>
                      <a:noFill/>
                    </a:ln>
                  </pic:spPr>
                </pic:pic>
              </a:graphicData>
            </a:graphic>
          </wp:inline>
        </w:drawing>
      </w:r>
      <w:r w:rsidRPr="00E57B6B">
        <w:rPr>
          <w:lang w:val="en-GB"/>
        </w:rPr>
        <w:t xml:space="preserve"> </w:t>
      </w:r>
    </w:p>
    <w:p w14:paraId="553BEC73" w14:textId="77777777" w:rsidR="00645D97" w:rsidRPr="00E57B6B" w:rsidRDefault="00645D97" w:rsidP="00D772F6">
      <w:pPr>
        <w:pStyle w:val="NormalWeb"/>
        <w:spacing w:after="120"/>
        <w:rPr>
          <w:rFonts w:ascii="Arial" w:hAnsi="Arial" w:cs="Arial"/>
          <w:b/>
          <w:color w:val="404040"/>
          <w:sz w:val="22"/>
          <w:szCs w:val="22"/>
          <w:lang w:val="en-GB"/>
        </w:rPr>
      </w:pPr>
    </w:p>
    <w:p w14:paraId="553BEC74" w14:textId="77777777" w:rsidR="00FC2BB1" w:rsidRPr="00E57B6B" w:rsidRDefault="002923EF" w:rsidP="001B46AB">
      <w:pPr>
        <w:tabs>
          <w:tab w:val="left" w:pos="2100"/>
        </w:tabs>
        <w:jc w:val="both"/>
        <w:rPr>
          <w:rFonts w:eastAsia="Calibri"/>
          <w:color w:val="404040"/>
          <w:sz w:val="18"/>
          <w:szCs w:val="18"/>
        </w:rPr>
      </w:pPr>
      <w:r w:rsidRPr="00E57B6B">
        <w:rPr>
          <w:rStyle w:val="hps"/>
          <w:rFonts w:eastAsia="Calibri"/>
          <w:color w:val="404040"/>
          <w:sz w:val="18"/>
          <w:szCs w:val="18"/>
        </w:rPr>
        <w:t>HD p</w:t>
      </w:r>
      <w:r w:rsidR="00645D97" w:rsidRPr="00E57B6B">
        <w:rPr>
          <w:rStyle w:val="hps"/>
          <w:rFonts w:eastAsia="Calibri"/>
          <w:color w:val="404040"/>
          <w:sz w:val="18"/>
          <w:szCs w:val="18"/>
        </w:rPr>
        <w:t>hoto</w:t>
      </w:r>
      <w:r w:rsidR="005916F4" w:rsidRPr="00E57B6B">
        <w:rPr>
          <w:rStyle w:val="hps"/>
          <w:rFonts w:eastAsia="Calibri"/>
          <w:color w:val="404040"/>
          <w:sz w:val="18"/>
          <w:szCs w:val="18"/>
        </w:rPr>
        <w:t>s</w:t>
      </w:r>
      <w:r w:rsidR="00645D97" w:rsidRPr="00E57B6B">
        <w:rPr>
          <w:rStyle w:val="hps"/>
          <w:rFonts w:eastAsia="Calibri"/>
          <w:color w:val="404040"/>
          <w:sz w:val="18"/>
          <w:szCs w:val="18"/>
        </w:rPr>
        <w:t xml:space="preserve">: </w:t>
      </w:r>
      <w:hyperlink r:id="rId10" w:history="1">
        <w:r w:rsidR="00236584" w:rsidRPr="00E57B6B">
          <w:rPr>
            <w:rStyle w:val="Lienhypertexte"/>
            <w:rFonts w:eastAsia="Calibri"/>
            <w:color w:val="auto"/>
            <w:sz w:val="18"/>
            <w:szCs w:val="18"/>
            <w:lang w:val="en-GB"/>
          </w:rPr>
          <w:t>click here</w:t>
        </w:r>
      </w:hyperlink>
    </w:p>
    <w:tbl>
      <w:tblPr>
        <w:tblW w:w="9180" w:type="dxa"/>
        <w:tblLook w:val="04A0" w:firstRow="1" w:lastRow="0" w:firstColumn="1" w:lastColumn="0" w:noHBand="0" w:noVBand="1"/>
      </w:tblPr>
      <w:tblGrid>
        <w:gridCol w:w="4503"/>
        <w:gridCol w:w="425"/>
        <w:gridCol w:w="4252"/>
      </w:tblGrid>
      <w:tr w:rsidR="00137FDF" w:rsidRPr="00E57B6B" w14:paraId="553BEC76" w14:textId="77777777" w:rsidTr="004176FD">
        <w:tc>
          <w:tcPr>
            <w:tcW w:w="9180" w:type="dxa"/>
            <w:gridSpan w:val="3"/>
            <w:tcBorders>
              <w:bottom w:val="single" w:sz="2" w:space="0" w:color="003C8A"/>
            </w:tcBorders>
            <w:shd w:val="clear" w:color="auto" w:fill="auto"/>
            <w:vAlign w:val="center"/>
          </w:tcPr>
          <w:p w14:paraId="553BEC75" w14:textId="77777777" w:rsidR="00137FDF" w:rsidRPr="00E57B6B" w:rsidRDefault="00137FDF" w:rsidP="004176FD">
            <w:pPr>
              <w:spacing w:after="120"/>
              <w:rPr>
                <w:b/>
                <w:bCs/>
                <w:color w:val="365F91"/>
                <w:sz w:val="22"/>
                <w:szCs w:val="22"/>
              </w:rPr>
            </w:pPr>
          </w:p>
        </w:tc>
      </w:tr>
      <w:tr w:rsidR="003959DA" w:rsidRPr="00E57B6B" w14:paraId="553BEC7A" w14:textId="77777777" w:rsidTr="004176FD">
        <w:tc>
          <w:tcPr>
            <w:tcW w:w="4503" w:type="dxa"/>
            <w:tcBorders>
              <w:top w:val="single" w:sz="2" w:space="0" w:color="003C8A"/>
            </w:tcBorders>
            <w:shd w:val="clear" w:color="auto" w:fill="auto"/>
          </w:tcPr>
          <w:p w14:paraId="553BEC77" w14:textId="77777777" w:rsidR="003959DA" w:rsidRPr="00E57B6B" w:rsidRDefault="003959DA" w:rsidP="003544FF">
            <w:pPr>
              <w:spacing w:before="120" w:after="120"/>
              <w:jc w:val="both"/>
              <w:rPr>
                <w:b/>
                <w:bCs/>
                <w:color w:val="003C8A"/>
                <w:sz w:val="21"/>
                <w:szCs w:val="21"/>
              </w:rPr>
            </w:pPr>
            <w:r w:rsidRPr="00E57B6B">
              <w:rPr>
                <w:b/>
                <w:color w:val="003C8A"/>
                <w:sz w:val="21"/>
              </w:rPr>
              <w:t>ABOUT SOCOMEC</w:t>
            </w:r>
          </w:p>
        </w:tc>
        <w:tc>
          <w:tcPr>
            <w:tcW w:w="425" w:type="dxa"/>
            <w:tcBorders>
              <w:top w:val="single" w:sz="2" w:space="0" w:color="003C8A"/>
            </w:tcBorders>
            <w:shd w:val="clear" w:color="auto" w:fill="auto"/>
          </w:tcPr>
          <w:p w14:paraId="553BEC78" w14:textId="77777777" w:rsidR="003959DA" w:rsidRPr="00E57B6B" w:rsidRDefault="003959DA" w:rsidP="003544FF">
            <w:pPr>
              <w:spacing w:before="120" w:after="120"/>
              <w:jc w:val="both"/>
              <w:rPr>
                <w:b/>
                <w:bCs/>
                <w:color w:val="003C8A"/>
                <w:sz w:val="21"/>
                <w:szCs w:val="21"/>
              </w:rPr>
            </w:pPr>
          </w:p>
        </w:tc>
        <w:tc>
          <w:tcPr>
            <w:tcW w:w="4252" w:type="dxa"/>
            <w:tcBorders>
              <w:top w:val="single" w:sz="2" w:space="0" w:color="003C8A"/>
            </w:tcBorders>
            <w:shd w:val="clear" w:color="auto" w:fill="auto"/>
          </w:tcPr>
          <w:p w14:paraId="553BEC79" w14:textId="77777777" w:rsidR="003959DA" w:rsidRPr="00E57B6B" w:rsidRDefault="003959DA" w:rsidP="003544FF">
            <w:pPr>
              <w:spacing w:before="120" w:after="120"/>
              <w:jc w:val="both"/>
              <w:rPr>
                <w:b/>
                <w:bCs/>
                <w:color w:val="003C8A"/>
                <w:sz w:val="21"/>
                <w:szCs w:val="21"/>
              </w:rPr>
            </w:pPr>
            <w:r w:rsidRPr="00E57B6B">
              <w:rPr>
                <w:b/>
                <w:color w:val="003C8A"/>
                <w:sz w:val="21"/>
              </w:rPr>
              <w:t>FOR MORE INFORMATION</w:t>
            </w:r>
          </w:p>
        </w:tc>
      </w:tr>
      <w:tr w:rsidR="003959DA" w:rsidRPr="00E57B6B" w14:paraId="553BEC85" w14:textId="77777777" w:rsidTr="00741E63">
        <w:trPr>
          <w:trHeight w:val="201"/>
        </w:trPr>
        <w:tc>
          <w:tcPr>
            <w:tcW w:w="4503" w:type="dxa"/>
            <w:shd w:val="clear" w:color="auto" w:fill="auto"/>
          </w:tcPr>
          <w:p w14:paraId="553BEC7B" w14:textId="114F9894" w:rsidR="003959DA" w:rsidRPr="00E57B6B" w:rsidRDefault="003959DA" w:rsidP="003544FF">
            <w:pPr>
              <w:autoSpaceDE w:val="0"/>
              <w:autoSpaceDN w:val="0"/>
              <w:jc w:val="both"/>
              <w:rPr>
                <w:color w:val="003C8A"/>
                <w:sz w:val="15"/>
                <w:szCs w:val="15"/>
              </w:rPr>
            </w:pPr>
            <w:r w:rsidRPr="00E57B6B">
              <w:rPr>
                <w:color w:val="003C8A"/>
                <w:sz w:val="15"/>
              </w:rPr>
              <w:t>Founded in 1922, SOCOMEC is an industrial group with a workforce of over 3000 people around the world in 21 subsidiaries. Our core business: the availability, control and safety of low voltage electrical networks… with increased focus on our custo</w:t>
            </w:r>
            <w:r w:rsidR="00725021">
              <w:rPr>
                <w:color w:val="003C8A"/>
                <w:sz w:val="15"/>
              </w:rPr>
              <w:t>mers' power performance. In 2014, SOCOMEC posted turnover of 427</w:t>
            </w:r>
            <w:bookmarkStart w:id="0" w:name="_GoBack"/>
            <w:bookmarkEnd w:id="0"/>
            <w:r w:rsidRPr="00E57B6B">
              <w:rPr>
                <w:color w:val="003C8A"/>
                <w:sz w:val="15"/>
              </w:rPr>
              <w:t xml:space="preserve"> million euros.</w:t>
            </w:r>
          </w:p>
          <w:p w14:paraId="553BEC7C" w14:textId="77777777" w:rsidR="003959DA" w:rsidRPr="00E57B6B" w:rsidRDefault="003959DA" w:rsidP="003544FF">
            <w:pPr>
              <w:autoSpaceDE w:val="0"/>
              <w:autoSpaceDN w:val="0"/>
              <w:rPr>
                <w:color w:val="003C8A"/>
                <w:sz w:val="15"/>
                <w:szCs w:val="15"/>
              </w:rPr>
            </w:pPr>
          </w:p>
          <w:p w14:paraId="553BEC7D" w14:textId="77777777" w:rsidR="003959DA" w:rsidRPr="00E57B6B" w:rsidRDefault="00236584" w:rsidP="003544FF">
            <w:pPr>
              <w:autoSpaceDE w:val="0"/>
              <w:autoSpaceDN w:val="0"/>
              <w:rPr>
                <w:color w:val="003C8A"/>
                <w:sz w:val="15"/>
                <w:szCs w:val="15"/>
              </w:rPr>
            </w:pPr>
            <w:r w:rsidRPr="00E57B6B">
              <w:rPr>
                <w:noProof/>
                <w:color w:val="000000"/>
                <w:sz w:val="15"/>
                <w:szCs w:val="15"/>
                <w:lang w:val="en-US" w:eastAsia="en-US"/>
              </w:rPr>
              <w:drawing>
                <wp:inline distT="0" distB="0" distL="0" distR="0" wp14:anchorId="553BEC89" wp14:editId="553BEC8A">
                  <wp:extent cx="360045" cy="360045"/>
                  <wp:effectExtent l="0" t="0" r="1905" b="1905"/>
                  <wp:docPr id="5" name="Image 18" descr="Description : \\Fru1fic2\fru1scocom\Dossiers de travail Communauté\e mailing\TOOLBOX\picto_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Fru1fic2\fru1scocom\Dossiers de travail Communauté\e mailing\TOOLBOX\picto_C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E57B6B">
              <w:rPr>
                <w:color w:val="003C8A"/>
                <w:sz w:val="15"/>
              </w:rPr>
              <w:t xml:space="preserve"> </w:t>
            </w:r>
            <w:r w:rsidR="003959DA" w:rsidRPr="00E57B6B">
              <w:rPr>
                <w:noProof/>
                <w:color w:val="000000"/>
                <w:sz w:val="15"/>
              </w:rPr>
              <w:t xml:space="preserve"> </w:t>
            </w:r>
            <w:r w:rsidRPr="00E57B6B">
              <w:rPr>
                <w:noProof/>
                <w:color w:val="000000"/>
                <w:sz w:val="15"/>
                <w:szCs w:val="15"/>
                <w:lang w:val="en-US" w:eastAsia="en-US"/>
              </w:rPr>
              <w:drawing>
                <wp:inline distT="0" distB="0" distL="0" distR="0" wp14:anchorId="553BEC8B" wp14:editId="553BEC8C">
                  <wp:extent cx="360045" cy="360045"/>
                  <wp:effectExtent l="0" t="0" r="1905" b="1905"/>
                  <wp:docPr id="6" name="Image 19" descr="Description : \\Fru1fic2\fru1scocom\Dossiers de travail Communauté\e mailing\TOOLBOX\picto_P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Description : \\Fru1fic2\fru1scocom\Dossiers de travail Communauté\e mailing\TOOLBOX\picto_PC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E57B6B">
              <w:rPr>
                <w:noProof/>
                <w:color w:val="000000"/>
                <w:sz w:val="15"/>
              </w:rPr>
              <w:t xml:space="preserve"> </w:t>
            </w:r>
            <w:r w:rsidR="003959DA" w:rsidRPr="00E57B6B">
              <w:rPr>
                <w:color w:val="003C8A"/>
                <w:sz w:val="15"/>
              </w:rPr>
              <w:t xml:space="preserve"> </w:t>
            </w:r>
            <w:r w:rsidRPr="00E57B6B">
              <w:rPr>
                <w:noProof/>
                <w:color w:val="000000"/>
                <w:sz w:val="15"/>
                <w:szCs w:val="15"/>
                <w:lang w:val="en-US" w:eastAsia="en-US"/>
              </w:rPr>
              <w:drawing>
                <wp:inline distT="0" distB="0" distL="0" distR="0" wp14:anchorId="553BEC8D" wp14:editId="553BEC8E">
                  <wp:extent cx="360045" cy="360045"/>
                  <wp:effectExtent l="0" t="0" r="1905" b="1905"/>
                  <wp:docPr id="7" name="Image 24" descr="Description : \\Fru1fic2\fru1scocom\Dossiers de travail Communauté\e mailing\TOOLBOX\picto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Description : \\Fru1fic2\fru1scocom\Dossiers de travail Communauté\e mailing\TOOLBOX\picto_S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3959DA" w:rsidRPr="00E57B6B">
              <w:rPr>
                <w:color w:val="003C8A"/>
                <w:sz w:val="15"/>
              </w:rPr>
              <w:t xml:space="preserve">  </w:t>
            </w:r>
            <w:r w:rsidRPr="00E57B6B">
              <w:rPr>
                <w:noProof/>
                <w:color w:val="000000"/>
                <w:sz w:val="15"/>
                <w:szCs w:val="15"/>
                <w:lang w:val="en-US" w:eastAsia="en-US"/>
              </w:rPr>
              <w:drawing>
                <wp:inline distT="0" distB="0" distL="0" distR="0" wp14:anchorId="553BEC8F" wp14:editId="553BEC90">
                  <wp:extent cx="360045" cy="360045"/>
                  <wp:effectExtent l="0" t="0" r="1905" b="1905"/>
                  <wp:docPr id="8" name="Image 25" descr="Description : \\Fru1fic2\fru1scocom\Dossiers de travail Communauté\e mailing\TOOLBOX\picto_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Fru1fic2\fru1scocom\Dossiers de travail Communauté\e mailing\TOOLBOX\picto_E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c>
          <w:tcPr>
            <w:tcW w:w="425" w:type="dxa"/>
            <w:shd w:val="clear" w:color="auto" w:fill="auto"/>
          </w:tcPr>
          <w:p w14:paraId="553BEC7E" w14:textId="77777777" w:rsidR="003959DA" w:rsidRPr="00E57B6B" w:rsidRDefault="003959DA" w:rsidP="003544FF">
            <w:pPr>
              <w:jc w:val="both"/>
              <w:rPr>
                <w:color w:val="003C8A"/>
                <w:sz w:val="15"/>
                <w:szCs w:val="15"/>
              </w:rPr>
            </w:pPr>
          </w:p>
        </w:tc>
        <w:tc>
          <w:tcPr>
            <w:tcW w:w="4252" w:type="dxa"/>
            <w:shd w:val="clear" w:color="auto" w:fill="auto"/>
          </w:tcPr>
          <w:p w14:paraId="553BEC7F" w14:textId="77777777" w:rsidR="003959DA" w:rsidRPr="00E57B6B" w:rsidRDefault="003959DA" w:rsidP="003544FF">
            <w:pPr>
              <w:jc w:val="both"/>
              <w:rPr>
                <w:color w:val="003C8A"/>
                <w:sz w:val="15"/>
                <w:szCs w:val="15"/>
              </w:rPr>
            </w:pPr>
            <w:r w:rsidRPr="00E57B6B">
              <w:rPr>
                <w:color w:val="003C8A"/>
                <w:sz w:val="15"/>
              </w:rPr>
              <w:t>Press contact: Virginie GUYOT</w:t>
            </w:r>
          </w:p>
          <w:p w14:paraId="553BEC80" w14:textId="77777777" w:rsidR="003959DA" w:rsidRPr="00E57B6B" w:rsidRDefault="003959DA" w:rsidP="003544FF">
            <w:pPr>
              <w:jc w:val="both"/>
              <w:rPr>
                <w:color w:val="003C8A"/>
                <w:sz w:val="15"/>
                <w:szCs w:val="15"/>
              </w:rPr>
            </w:pPr>
            <w:r w:rsidRPr="00E57B6B">
              <w:rPr>
                <w:color w:val="003C8A"/>
                <w:sz w:val="15"/>
              </w:rPr>
              <w:t>Offer Communication Manager</w:t>
            </w:r>
          </w:p>
          <w:p w14:paraId="553BEC81" w14:textId="77777777" w:rsidR="003959DA" w:rsidRPr="00725021" w:rsidRDefault="003959DA" w:rsidP="003544FF">
            <w:pPr>
              <w:jc w:val="both"/>
              <w:rPr>
                <w:color w:val="003C8A"/>
                <w:sz w:val="15"/>
                <w:szCs w:val="15"/>
                <w:lang w:val="de-DE"/>
              </w:rPr>
            </w:pPr>
            <w:r w:rsidRPr="00725021">
              <w:rPr>
                <w:color w:val="003C8A"/>
                <w:sz w:val="15"/>
                <w:lang w:val="de-DE"/>
              </w:rPr>
              <w:t>Tel. : +33 (0)3 88 57 78 15</w:t>
            </w:r>
          </w:p>
          <w:p w14:paraId="553BEC82" w14:textId="77777777" w:rsidR="003959DA" w:rsidRPr="00725021" w:rsidRDefault="003959DA" w:rsidP="003544FF">
            <w:pPr>
              <w:jc w:val="both"/>
              <w:rPr>
                <w:color w:val="003C8A"/>
                <w:sz w:val="15"/>
                <w:szCs w:val="15"/>
                <w:lang w:val="de-DE"/>
              </w:rPr>
            </w:pPr>
            <w:r w:rsidRPr="00725021">
              <w:rPr>
                <w:color w:val="003C8A"/>
                <w:sz w:val="15"/>
                <w:lang w:val="de-DE"/>
              </w:rPr>
              <w:t>E-Mail:</w:t>
            </w:r>
            <w:r w:rsidRPr="00725021">
              <w:rPr>
                <w:lang w:val="de-DE"/>
              </w:rPr>
              <w:t xml:space="preserve"> </w:t>
            </w:r>
            <w:r w:rsidRPr="00725021">
              <w:rPr>
                <w:color w:val="003C8A"/>
                <w:sz w:val="15"/>
                <w:lang w:val="de-DE"/>
              </w:rPr>
              <w:t>virginie.guyot@socomec.com</w:t>
            </w:r>
          </w:p>
          <w:p w14:paraId="553BEC83" w14:textId="77777777" w:rsidR="003959DA" w:rsidRPr="00725021" w:rsidRDefault="003959DA" w:rsidP="003544FF">
            <w:pPr>
              <w:jc w:val="both"/>
              <w:rPr>
                <w:color w:val="7F7F7F"/>
                <w:sz w:val="15"/>
                <w:szCs w:val="15"/>
                <w:lang w:val="de-DE"/>
              </w:rPr>
            </w:pPr>
          </w:p>
          <w:p w14:paraId="553BEC84" w14:textId="77777777" w:rsidR="003959DA" w:rsidRPr="00E57B6B" w:rsidRDefault="00725021" w:rsidP="003544FF">
            <w:pPr>
              <w:jc w:val="both"/>
              <w:rPr>
                <w:color w:val="003C8A"/>
                <w:sz w:val="15"/>
                <w:szCs w:val="15"/>
              </w:rPr>
            </w:pPr>
            <w:hyperlink r:id="rId15">
              <w:r w:rsidR="003959DA" w:rsidRPr="00E57B6B">
                <w:rPr>
                  <w:rStyle w:val="Lienhypertexte"/>
                  <w:sz w:val="15"/>
                  <w:lang w:val="en-GB"/>
                </w:rPr>
                <w:t>www.socomec.com</w:t>
              </w:r>
            </w:hyperlink>
          </w:p>
        </w:tc>
      </w:tr>
    </w:tbl>
    <w:p w14:paraId="553BEC86" w14:textId="77777777" w:rsidR="001B46AB" w:rsidRPr="00E57B6B" w:rsidRDefault="001B46AB" w:rsidP="001B46AB">
      <w:pPr>
        <w:tabs>
          <w:tab w:val="left" w:pos="3045"/>
        </w:tabs>
        <w:spacing w:after="120"/>
      </w:pPr>
    </w:p>
    <w:sectPr w:rsidR="001B46AB" w:rsidRPr="00E57B6B" w:rsidSect="001B46AB">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2439A" w14:textId="77777777" w:rsidR="00193614" w:rsidRDefault="00193614" w:rsidP="001B46AB">
      <w:r>
        <w:separator/>
      </w:r>
    </w:p>
  </w:endnote>
  <w:endnote w:type="continuationSeparator" w:id="0">
    <w:p w14:paraId="789A37D4" w14:textId="77777777" w:rsidR="00193614" w:rsidRDefault="00193614" w:rsidP="001B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EC99" w14:textId="77777777" w:rsidR="00875722" w:rsidRPr="00157BD7" w:rsidRDefault="00875722" w:rsidP="001B46AB">
    <w:pPr>
      <w:jc w:val="right"/>
    </w:pPr>
    <w:r>
      <w:rPr>
        <w:b/>
        <w:color w:val="404040"/>
        <w:sz w:val="22"/>
      </w:rPr>
      <w:t xml:space="preserve">PAGE </w:t>
    </w:r>
    <w:r>
      <w:rPr>
        <w:b/>
        <w:color w:val="404040"/>
        <w:sz w:val="22"/>
      </w:rPr>
      <w:fldChar w:fldCharType="begin"/>
    </w:r>
    <w:r>
      <w:rPr>
        <w:b/>
        <w:color w:val="404040"/>
        <w:sz w:val="22"/>
      </w:rPr>
      <w:instrText xml:space="preserve"> </w:instrText>
    </w:r>
    <w:r w:rsidR="00F11E8F">
      <w:rPr>
        <w:b/>
        <w:color w:val="404040"/>
        <w:sz w:val="22"/>
      </w:rPr>
      <w:instrText>PAGE</w:instrText>
    </w:r>
    <w:r>
      <w:rPr>
        <w:b/>
        <w:color w:val="404040"/>
        <w:sz w:val="22"/>
      </w:rPr>
      <w:instrText xml:space="preserve">   \* MERGEFORMAT </w:instrText>
    </w:r>
    <w:r>
      <w:rPr>
        <w:b/>
        <w:color w:val="404040"/>
        <w:sz w:val="22"/>
      </w:rPr>
      <w:fldChar w:fldCharType="separate"/>
    </w:r>
    <w:r w:rsidR="00725021">
      <w:rPr>
        <w:b/>
        <w:noProof/>
        <w:color w:val="404040"/>
        <w:sz w:val="22"/>
      </w:rPr>
      <w:t>2</w:t>
    </w:r>
    <w:r>
      <w:rPr>
        <w:b/>
        <w:color w:val="404040"/>
        <w:sz w:val="22"/>
      </w:rPr>
      <w:fldChar w:fldCharType="end"/>
    </w:r>
    <w:r>
      <w:rPr>
        <w:b/>
        <w:color w:val="404040"/>
        <w:sz w:val="22"/>
      </w:rPr>
      <w:t>/</w:t>
    </w:r>
    <w:r>
      <w:rPr>
        <w:b/>
        <w:color w:val="404040"/>
        <w:sz w:val="22"/>
      </w:rPr>
      <w:fldChar w:fldCharType="begin"/>
    </w:r>
    <w:r>
      <w:rPr>
        <w:b/>
        <w:color w:val="404040"/>
        <w:sz w:val="22"/>
      </w:rPr>
      <w:instrText xml:space="preserve"> </w:instrText>
    </w:r>
    <w:r w:rsidR="00F11E8F">
      <w:rPr>
        <w:b/>
        <w:color w:val="404040"/>
        <w:sz w:val="22"/>
      </w:rPr>
      <w:instrText>NUMPAGES</w:instrText>
    </w:r>
    <w:r>
      <w:rPr>
        <w:b/>
        <w:color w:val="404040"/>
        <w:sz w:val="22"/>
      </w:rPr>
      <w:instrText xml:space="preserve">   \* MERGEFORMAT </w:instrText>
    </w:r>
    <w:r>
      <w:rPr>
        <w:b/>
        <w:color w:val="404040"/>
        <w:sz w:val="22"/>
      </w:rPr>
      <w:fldChar w:fldCharType="separate"/>
    </w:r>
    <w:r w:rsidR="00725021">
      <w:rPr>
        <w:b/>
        <w:noProof/>
        <w:color w:val="404040"/>
        <w:sz w:val="22"/>
      </w:rPr>
      <w:t>2</w:t>
    </w:r>
    <w:r>
      <w:rPr>
        <w:b/>
        <w:color w:val="40404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0B494" w14:textId="77777777" w:rsidR="00193614" w:rsidRDefault="00193614" w:rsidP="001B46AB">
      <w:r>
        <w:separator/>
      </w:r>
    </w:p>
  </w:footnote>
  <w:footnote w:type="continuationSeparator" w:id="0">
    <w:p w14:paraId="354BB426" w14:textId="77777777" w:rsidR="00193614" w:rsidRDefault="00193614" w:rsidP="001B4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88"/>
      <w:gridCol w:w="4354"/>
    </w:tblGrid>
    <w:tr w:rsidR="00875722" w:rsidRPr="003E374B" w14:paraId="553BEC97" w14:textId="77777777" w:rsidTr="001B46AB">
      <w:tc>
        <w:tcPr>
          <w:tcW w:w="5172" w:type="dxa"/>
          <w:shd w:val="clear" w:color="auto" w:fill="auto"/>
          <w:vAlign w:val="center"/>
        </w:tcPr>
        <w:p w14:paraId="553BEC95" w14:textId="77777777" w:rsidR="00875722" w:rsidRPr="00564DE5" w:rsidRDefault="00236584" w:rsidP="001B46AB">
          <w:pPr>
            <w:pStyle w:val="En-tte"/>
            <w:rPr>
              <w:b/>
              <w:bCs/>
              <w:color w:val="003C8A"/>
            </w:rPr>
          </w:pPr>
          <w:r>
            <w:rPr>
              <w:noProof/>
              <w:color w:val="7F7F7F"/>
              <w:lang w:val="en-US" w:eastAsia="en-US"/>
            </w:rPr>
            <w:drawing>
              <wp:inline distT="0" distB="0" distL="0" distR="0" wp14:anchorId="553BEC9A" wp14:editId="553BEC9B">
                <wp:extent cx="2265045" cy="381000"/>
                <wp:effectExtent l="0" t="0" r="1905" b="0"/>
                <wp:docPr id="9" name="Image 17" descr="Description : \\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escription : \\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381000"/>
                        </a:xfrm>
                        <a:prstGeom prst="rect">
                          <a:avLst/>
                        </a:prstGeom>
                        <a:noFill/>
                        <a:ln>
                          <a:noFill/>
                        </a:ln>
                      </pic:spPr>
                    </pic:pic>
                  </a:graphicData>
                </a:graphic>
              </wp:inline>
            </w:drawing>
          </w:r>
        </w:p>
      </w:tc>
      <w:tc>
        <w:tcPr>
          <w:tcW w:w="5172" w:type="dxa"/>
          <w:shd w:val="clear" w:color="auto" w:fill="auto"/>
          <w:vAlign w:val="center"/>
        </w:tcPr>
        <w:p w14:paraId="553BEC96" w14:textId="77777777" w:rsidR="00875722" w:rsidRPr="00564DE5" w:rsidRDefault="005F4978" w:rsidP="005F4978">
          <w:pPr>
            <w:pStyle w:val="En-tte"/>
            <w:jc w:val="right"/>
            <w:rPr>
              <w:b/>
              <w:bCs/>
              <w:color w:val="003C8A"/>
            </w:rPr>
          </w:pPr>
          <w:r>
            <w:rPr>
              <w:b/>
              <w:color w:val="003C8A"/>
              <w:sz w:val="28"/>
            </w:rPr>
            <w:t>Press release</w:t>
          </w:r>
        </w:p>
      </w:tc>
    </w:tr>
  </w:tbl>
  <w:p w14:paraId="553BEC98" w14:textId="77777777" w:rsidR="00875722" w:rsidRPr="00564DE5" w:rsidRDefault="00875722" w:rsidP="001B46AB">
    <w:pPr>
      <w:pStyle w:val="En-tte"/>
      <w:rPr>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94A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8D2D62"/>
    <w:multiLevelType w:val="hybridMultilevel"/>
    <w:tmpl w:val="A1DE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201"/>
    <w:multiLevelType w:val="hybridMultilevel"/>
    <w:tmpl w:val="19AAE1E0"/>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BC7C68"/>
    <w:multiLevelType w:val="hybridMultilevel"/>
    <w:tmpl w:val="03B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A031E"/>
    <w:multiLevelType w:val="hybridMultilevel"/>
    <w:tmpl w:val="90DCD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8A5C60"/>
    <w:multiLevelType w:val="hybridMultilevel"/>
    <w:tmpl w:val="381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217E8"/>
    <w:multiLevelType w:val="hybridMultilevel"/>
    <w:tmpl w:val="C4882D16"/>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5843D1"/>
    <w:multiLevelType w:val="hybridMultilevel"/>
    <w:tmpl w:val="BA26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4B"/>
    <w:rsid w:val="00017AEA"/>
    <w:rsid w:val="00017F00"/>
    <w:rsid w:val="00023B2F"/>
    <w:rsid w:val="00024642"/>
    <w:rsid w:val="00031CA1"/>
    <w:rsid w:val="000359BE"/>
    <w:rsid w:val="00037006"/>
    <w:rsid w:val="00046814"/>
    <w:rsid w:val="00046952"/>
    <w:rsid w:val="00060406"/>
    <w:rsid w:val="00062061"/>
    <w:rsid w:val="00063C10"/>
    <w:rsid w:val="0008250E"/>
    <w:rsid w:val="00090377"/>
    <w:rsid w:val="00091E3F"/>
    <w:rsid w:val="00096CDA"/>
    <w:rsid w:val="000A1265"/>
    <w:rsid w:val="000A1E85"/>
    <w:rsid w:val="000B0C83"/>
    <w:rsid w:val="000C19A6"/>
    <w:rsid w:val="000C3D3E"/>
    <w:rsid w:val="000D267F"/>
    <w:rsid w:val="000D2741"/>
    <w:rsid w:val="000D50AB"/>
    <w:rsid w:val="000E221A"/>
    <w:rsid w:val="000E5D36"/>
    <w:rsid w:val="00105445"/>
    <w:rsid w:val="00105AA0"/>
    <w:rsid w:val="00131789"/>
    <w:rsid w:val="00137FDF"/>
    <w:rsid w:val="00140765"/>
    <w:rsid w:val="00142B09"/>
    <w:rsid w:val="00142C34"/>
    <w:rsid w:val="00142CA6"/>
    <w:rsid w:val="00143B0D"/>
    <w:rsid w:val="001458BD"/>
    <w:rsid w:val="00145F7F"/>
    <w:rsid w:val="00157BB5"/>
    <w:rsid w:val="00166805"/>
    <w:rsid w:val="0019276D"/>
    <w:rsid w:val="00193614"/>
    <w:rsid w:val="001B245C"/>
    <w:rsid w:val="001B46AB"/>
    <w:rsid w:val="001B6CF0"/>
    <w:rsid w:val="001B78B2"/>
    <w:rsid w:val="001C012D"/>
    <w:rsid w:val="001C4DBE"/>
    <w:rsid w:val="001C695D"/>
    <w:rsid w:val="001D3C99"/>
    <w:rsid w:val="001D4763"/>
    <w:rsid w:val="001E1C0C"/>
    <w:rsid w:val="001E337A"/>
    <w:rsid w:val="001F65F6"/>
    <w:rsid w:val="0020204D"/>
    <w:rsid w:val="002057B5"/>
    <w:rsid w:val="00211FE8"/>
    <w:rsid w:val="0022015A"/>
    <w:rsid w:val="00236584"/>
    <w:rsid w:val="00253F4E"/>
    <w:rsid w:val="00272304"/>
    <w:rsid w:val="002731BA"/>
    <w:rsid w:val="002824E5"/>
    <w:rsid w:val="002912EE"/>
    <w:rsid w:val="002923EF"/>
    <w:rsid w:val="00297C99"/>
    <w:rsid w:val="002A0148"/>
    <w:rsid w:val="002B158E"/>
    <w:rsid w:val="002B29F0"/>
    <w:rsid w:val="002B75A3"/>
    <w:rsid w:val="002C01DC"/>
    <w:rsid w:val="002C28F1"/>
    <w:rsid w:val="002E3726"/>
    <w:rsid w:val="002E3F7B"/>
    <w:rsid w:val="002F0DCC"/>
    <w:rsid w:val="002F0E37"/>
    <w:rsid w:val="002F250A"/>
    <w:rsid w:val="00300922"/>
    <w:rsid w:val="00304634"/>
    <w:rsid w:val="003105A7"/>
    <w:rsid w:val="003239BE"/>
    <w:rsid w:val="0033054F"/>
    <w:rsid w:val="00344AE2"/>
    <w:rsid w:val="003544FF"/>
    <w:rsid w:val="00356CAE"/>
    <w:rsid w:val="00357E6E"/>
    <w:rsid w:val="003600A4"/>
    <w:rsid w:val="00372968"/>
    <w:rsid w:val="003752C7"/>
    <w:rsid w:val="003863EC"/>
    <w:rsid w:val="003938D8"/>
    <w:rsid w:val="00395056"/>
    <w:rsid w:val="0039560C"/>
    <w:rsid w:val="003959DA"/>
    <w:rsid w:val="003A0AB1"/>
    <w:rsid w:val="003A1666"/>
    <w:rsid w:val="003A7E74"/>
    <w:rsid w:val="003B391A"/>
    <w:rsid w:val="003B3B35"/>
    <w:rsid w:val="003D46AF"/>
    <w:rsid w:val="003D54FD"/>
    <w:rsid w:val="003D63AB"/>
    <w:rsid w:val="003E374B"/>
    <w:rsid w:val="003E494D"/>
    <w:rsid w:val="003F79CA"/>
    <w:rsid w:val="004176FD"/>
    <w:rsid w:val="00424E66"/>
    <w:rsid w:val="00435836"/>
    <w:rsid w:val="004408AD"/>
    <w:rsid w:val="00441E14"/>
    <w:rsid w:val="0045754C"/>
    <w:rsid w:val="00463406"/>
    <w:rsid w:val="004645AD"/>
    <w:rsid w:val="00493435"/>
    <w:rsid w:val="004956A0"/>
    <w:rsid w:val="00496EF1"/>
    <w:rsid w:val="004A315D"/>
    <w:rsid w:val="004A3767"/>
    <w:rsid w:val="004B36A1"/>
    <w:rsid w:val="004B44FF"/>
    <w:rsid w:val="004B48A6"/>
    <w:rsid w:val="004B6EE7"/>
    <w:rsid w:val="004D66E5"/>
    <w:rsid w:val="00504D80"/>
    <w:rsid w:val="005111B0"/>
    <w:rsid w:val="0051174D"/>
    <w:rsid w:val="0051291C"/>
    <w:rsid w:val="005148AD"/>
    <w:rsid w:val="00522DEF"/>
    <w:rsid w:val="00527B33"/>
    <w:rsid w:val="00536795"/>
    <w:rsid w:val="00563559"/>
    <w:rsid w:val="005749A1"/>
    <w:rsid w:val="005916F4"/>
    <w:rsid w:val="00592A2D"/>
    <w:rsid w:val="005A4735"/>
    <w:rsid w:val="005A5C7D"/>
    <w:rsid w:val="005B17C4"/>
    <w:rsid w:val="005C2F91"/>
    <w:rsid w:val="005D3667"/>
    <w:rsid w:val="005D76E2"/>
    <w:rsid w:val="005F4978"/>
    <w:rsid w:val="005F68BF"/>
    <w:rsid w:val="0060017E"/>
    <w:rsid w:val="00603663"/>
    <w:rsid w:val="00625C0B"/>
    <w:rsid w:val="006338F1"/>
    <w:rsid w:val="00641CF8"/>
    <w:rsid w:val="00642017"/>
    <w:rsid w:val="00645D97"/>
    <w:rsid w:val="006640CC"/>
    <w:rsid w:val="00667054"/>
    <w:rsid w:val="0066757F"/>
    <w:rsid w:val="00683C83"/>
    <w:rsid w:val="00693B7C"/>
    <w:rsid w:val="0069581D"/>
    <w:rsid w:val="006A6BC1"/>
    <w:rsid w:val="006A7828"/>
    <w:rsid w:val="006D223F"/>
    <w:rsid w:val="006F0D41"/>
    <w:rsid w:val="006F1D3D"/>
    <w:rsid w:val="006F2FDC"/>
    <w:rsid w:val="006F752B"/>
    <w:rsid w:val="00705083"/>
    <w:rsid w:val="007168CB"/>
    <w:rsid w:val="00725021"/>
    <w:rsid w:val="007274C0"/>
    <w:rsid w:val="007276ED"/>
    <w:rsid w:val="00730A69"/>
    <w:rsid w:val="00741B37"/>
    <w:rsid w:val="00741E63"/>
    <w:rsid w:val="00746D78"/>
    <w:rsid w:val="00747919"/>
    <w:rsid w:val="0076729B"/>
    <w:rsid w:val="0077356E"/>
    <w:rsid w:val="00787987"/>
    <w:rsid w:val="007928CA"/>
    <w:rsid w:val="007A23F1"/>
    <w:rsid w:val="007B5E90"/>
    <w:rsid w:val="007B6587"/>
    <w:rsid w:val="007C594E"/>
    <w:rsid w:val="007D2193"/>
    <w:rsid w:val="007D5563"/>
    <w:rsid w:val="007D7CEC"/>
    <w:rsid w:val="007E6643"/>
    <w:rsid w:val="007F4BAC"/>
    <w:rsid w:val="0081472E"/>
    <w:rsid w:val="00817E5D"/>
    <w:rsid w:val="00820465"/>
    <w:rsid w:val="00823B74"/>
    <w:rsid w:val="00825150"/>
    <w:rsid w:val="00831B70"/>
    <w:rsid w:val="0084079A"/>
    <w:rsid w:val="00863EFB"/>
    <w:rsid w:val="008644AC"/>
    <w:rsid w:val="00864C48"/>
    <w:rsid w:val="00865BF5"/>
    <w:rsid w:val="0087265A"/>
    <w:rsid w:val="008733B8"/>
    <w:rsid w:val="00874546"/>
    <w:rsid w:val="00875722"/>
    <w:rsid w:val="00882476"/>
    <w:rsid w:val="008A08FC"/>
    <w:rsid w:val="008A338A"/>
    <w:rsid w:val="008A4DA2"/>
    <w:rsid w:val="008A79EE"/>
    <w:rsid w:val="008B160A"/>
    <w:rsid w:val="008B1A43"/>
    <w:rsid w:val="008B2456"/>
    <w:rsid w:val="008B3735"/>
    <w:rsid w:val="008B4C34"/>
    <w:rsid w:val="008E62FB"/>
    <w:rsid w:val="008F3F6A"/>
    <w:rsid w:val="009374B9"/>
    <w:rsid w:val="00941442"/>
    <w:rsid w:val="00963E48"/>
    <w:rsid w:val="00971996"/>
    <w:rsid w:val="00971E97"/>
    <w:rsid w:val="00971F99"/>
    <w:rsid w:val="00977C88"/>
    <w:rsid w:val="00986C81"/>
    <w:rsid w:val="00987AAE"/>
    <w:rsid w:val="009913FE"/>
    <w:rsid w:val="009A1B37"/>
    <w:rsid w:val="009C1E28"/>
    <w:rsid w:val="009C5472"/>
    <w:rsid w:val="009D4E0E"/>
    <w:rsid w:val="009D5EAD"/>
    <w:rsid w:val="009E65FE"/>
    <w:rsid w:val="009F16FD"/>
    <w:rsid w:val="009F3B56"/>
    <w:rsid w:val="009F6344"/>
    <w:rsid w:val="00A107DA"/>
    <w:rsid w:val="00A1158C"/>
    <w:rsid w:val="00A14789"/>
    <w:rsid w:val="00A23962"/>
    <w:rsid w:val="00A34A2A"/>
    <w:rsid w:val="00A34B0E"/>
    <w:rsid w:val="00A37676"/>
    <w:rsid w:val="00A40A59"/>
    <w:rsid w:val="00A414DC"/>
    <w:rsid w:val="00A4209D"/>
    <w:rsid w:val="00A46D98"/>
    <w:rsid w:val="00A478FC"/>
    <w:rsid w:val="00A5652A"/>
    <w:rsid w:val="00A73807"/>
    <w:rsid w:val="00A8277F"/>
    <w:rsid w:val="00A836EB"/>
    <w:rsid w:val="00A87D19"/>
    <w:rsid w:val="00AB0A97"/>
    <w:rsid w:val="00AB36BF"/>
    <w:rsid w:val="00AE7E8D"/>
    <w:rsid w:val="00B014DE"/>
    <w:rsid w:val="00B063BE"/>
    <w:rsid w:val="00B072FE"/>
    <w:rsid w:val="00B208D8"/>
    <w:rsid w:val="00B22A99"/>
    <w:rsid w:val="00B26280"/>
    <w:rsid w:val="00B339CC"/>
    <w:rsid w:val="00B3636E"/>
    <w:rsid w:val="00B40040"/>
    <w:rsid w:val="00B560F6"/>
    <w:rsid w:val="00B639CF"/>
    <w:rsid w:val="00B64C4A"/>
    <w:rsid w:val="00B7283F"/>
    <w:rsid w:val="00B93590"/>
    <w:rsid w:val="00BA2D0E"/>
    <w:rsid w:val="00BA3095"/>
    <w:rsid w:val="00BA5258"/>
    <w:rsid w:val="00BA7078"/>
    <w:rsid w:val="00BA7A48"/>
    <w:rsid w:val="00BD0EAF"/>
    <w:rsid w:val="00BE0E4A"/>
    <w:rsid w:val="00BE641A"/>
    <w:rsid w:val="00BF5B8B"/>
    <w:rsid w:val="00C07891"/>
    <w:rsid w:val="00C12B08"/>
    <w:rsid w:val="00C25041"/>
    <w:rsid w:val="00C35B62"/>
    <w:rsid w:val="00C375C4"/>
    <w:rsid w:val="00C37EC8"/>
    <w:rsid w:val="00C4310D"/>
    <w:rsid w:val="00C44895"/>
    <w:rsid w:val="00C507AE"/>
    <w:rsid w:val="00C5410B"/>
    <w:rsid w:val="00C60679"/>
    <w:rsid w:val="00C723CA"/>
    <w:rsid w:val="00C93064"/>
    <w:rsid w:val="00CB21A5"/>
    <w:rsid w:val="00CB6C7F"/>
    <w:rsid w:val="00CD2F1E"/>
    <w:rsid w:val="00CD66C8"/>
    <w:rsid w:val="00CD6973"/>
    <w:rsid w:val="00CE02E0"/>
    <w:rsid w:val="00CE3363"/>
    <w:rsid w:val="00CE3B73"/>
    <w:rsid w:val="00CE5583"/>
    <w:rsid w:val="00CF3623"/>
    <w:rsid w:val="00D01D80"/>
    <w:rsid w:val="00D05DAD"/>
    <w:rsid w:val="00D12C32"/>
    <w:rsid w:val="00D158B2"/>
    <w:rsid w:val="00D1669A"/>
    <w:rsid w:val="00D21279"/>
    <w:rsid w:val="00D22799"/>
    <w:rsid w:val="00D248A3"/>
    <w:rsid w:val="00D24E9F"/>
    <w:rsid w:val="00D31AA3"/>
    <w:rsid w:val="00D47B3E"/>
    <w:rsid w:val="00D50C48"/>
    <w:rsid w:val="00D50DBB"/>
    <w:rsid w:val="00D51D4C"/>
    <w:rsid w:val="00D54304"/>
    <w:rsid w:val="00D55028"/>
    <w:rsid w:val="00D61B8D"/>
    <w:rsid w:val="00D61BD3"/>
    <w:rsid w:val="00D62D77"/>
    <w:rsid w:val="00D65035"/>
    <w:rsid w:val="00D70A93"/>
    <w:rsid w:val="00D76896"/>
    <w:rsid w:val="00D772F6"/>
    <w:rsid w:val="00D83843"/>
    <w:rsid w:val="00DA1E0B"/>
    <w:rsid w:val="00DA5FBB"/>
    <w:rsid w:val="00DB4905"/>
    <w:rsid w:val="00DB5686"/>
    <w:rsid w:val="00DC6393"/>
    <w:rsid w:val="00DD26C6"/>
    <w:rsid w:val="00DD7A28"/>
    <w:rsid w:val="00DE22B8"/>
    <w:rsid w:val="00DE38DC"/>
    <w:rsid w:val="00DF0D10"/>
    <w:rsid w:val="00E0024B"/>
    <w:rsid w:val="00E03C40"/>
    <w:rsid w:val="00E16A7B"/>
    <w:rsid w:val="00E2123E"/>
    <w:rsid w:val="00E2213E"/>
    <w:rsid w:val="00E2636C"/>
    <w:rsid w:val="00E34D31"/>
    <w:rsid w:val="00E35E65"/>
    <w:rsid w:val="00E41831"/>
    <w:rsid w:val="00E52A8B"/>
    <w:rsid w:val="00E57B6B"/>
    <w:rsid w:val="00E60479"/>
    <w:rsid w:val="00E65754"/>
    <w:rsid w:val="00E803B0"/>
    <w:rsid w:val="00E812F4"/>
    <w:rsid w:val="00E868EA"/>
    <w:rsid w:val="00E922B4"/>
    <w:rsid w:val="00EA5D38"/>
    <w:rsid w:val="00EB3206"/>
    <w:rsid w:val="00EB3D6E"/>
    <w:rsid w:val="00EB3D73"/>
    <w:rsid w:val="00EB45A0"/>
    <w:rsid w:val="00EC2AAE"/>
    <w:rsid w:val="00ED3E6D"/>
    <w:rsid w:val="00ED688A"/>
    <w:rsid w:val="00EE2CB5"/>
    <w:rsid w:val="00EF2625"/>
    <w:rsid w:val="00EF41B8"/>
    <w:rsid w:val="00F0448C"/>
    <w:rsid w:val="00F06AD8"/>
    <w:rsid w:val="00F10AF0"/>
    <w:rsid w:val="00F11E8F"/>
    <w:rsid w:val="00F13F4C"/>
    <w:rsid w:val="00F17CDC"/>
    <w:rsid w:val="00F2388E"/>
    <w:rsid w:val="00F32444"/>
    <w:rsid w:val="00F40016"/>
    <w:rsid w:val="00F42FE7"/>
    <w:rsid w:val="00F53E19"/>
    <w:rsid w:val="00F575EA"/>
    <w:rsid w:val="00F718E8"/>
    <w:rsid w:val="00F71986"/>
    <w:rsid w:val="00F76E53"/>
    <w:rsid w:val="00F86DB4"/>
    <w:rsid w:val="00F9440E"/>
    <w:rsid w:val="00FB0E95"/>
    <w:rsid w:val="00FB7B74"/>
    <w:rsid w:val="00FC2BB1"/>
    <w:rsid w:val="00FC4F9F"/>
    <w:rsid w:val="00FD21D7"/>
    <w:rsid w:val="00FD4EE8"/>
    <w:rsid w:val="00FE3052"/>
    <w:rsid w:val="00FE7F36"/>
    <w:rsid w:val="00FF00B5"/>
    <w:rsid w:val="00FF0E29"/>
    <w:rsid w:val="00FF20A6"/>
    <w:rsid w:val="00FF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B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lang w:val="fr-FR"/>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lang w:val="fr-FR"/>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lang w:val="fr-FR" w:eastAsia="fr-FR"/>
    </w:rPr>
  </w:style>
  <w:style w:type="character" w:styleId="Accentuation">
    <w:name w:val="Emphasis"/>
    <w:uiPriority w:val="20"/>
    <w:qFormat/>
    <w:rsid w:val="009A1B37"/>
    <w:rPr>
      <w:i/>
      <w:iCs/>
    </w:rPr>
  </w:style>
  <w:style w:type="character" w:styleId="Lienhypertextesuivivisit">
    <w:name w:val="FollowedHyperlink"/>
    <w:uiPriority w:val="99"/>
    <w:semiHidden/>
    <w:unhideWhenUsed/>
    <w:rsid w:val="001458B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lang w:val="fr-FR"/>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lang w:val="fr-FR"/>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lang w:val="fr-FR" w:eastAsia="fr-FR"/>
    </w:rPr>
  </w:style>
  <w:style w:type="character" w:styleId="Accentuation">
    <w:name w:val="Emphasis"/>
    <w:uiPriority w:val="20"/>
    <w:qFormat/>
    <w:rsid w:val="009A1B37"/>
    <w:rPr>
      <w:i/>
      <w:iCs/>
    </w:rPr>
  </w:style>
  <w:style w:type="character" w:styleId="Lienhypertextesuivivisit">
    <w:name w:val="FollowedHyperlink"/>
    <w:uiPriority w:val="99"/>
    <w:semiHidden/>
    <w:unhideWhenUsed/>
    <w:rsid w:val="001458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socomec.com/" TargetMode="External"/><Relationship Id="rId10" Type="http://schemas.openxmlformats.org/officeDocument/2006/relationships/hyperlink" Target="http://www.socomec.com/range-green-power-ups.html?product=/ups-modulys-gp-green-power_en.html&amp;view=pictur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3A60-C3EF-4C3D-B456-911C5BD2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3522</CharactersWithSpaces>
  <SharedDoc>false</SharedDoc>
  <HLinks>
    <vt:vector size="18" baseType="variant">
      <vt:variant>
        <vt:i4>3866740</vt:i4>
      </vt:variant>
      <vt:variant>
        <vt:i4>6</vt:i4>
      </vt:variant>
      <vt:variant>
        <vt:i4>0</vt:i4>
      </vt:variant>
      <vt:variant>
        <vt:i4>5</vt:i4>
      </vt:variant>
      <vt:variant>
        <vt:lpwstr>http://www.socomec.com/</vt:lpwstr>
      </vt:variant>
      <vt:variant>
        <vt:lpwstr/>
      </vt:variant>
      <vt:variant>
        <vt:i4>4653170</vt:i4>
      </vt:variant>
      <vt:variant>
        <vt:i4>3</vt:i4>
      </vt:variant>
      <vt:variant>
        <vt:i4>0</vt:i4>
      </vt:variant>
      <vt:variant>
        <vt:i4>5</vt:i4>
      </vt:variant>
      <vt:variant>
        <vt:lpwstr>http://www.socomec.com/measurement-energy-management-analyze_en.html</vt:lpwstr>
      </vt:variant>
      <vt:variant>
        <vt:lpwstr/>
      </vt:variant>
      <vt:variant>
        <vt:i4>5898312</vt:i4>
      </vt:variant>
      <vt:variant>
        <vt:i4>0</vt:i4>
      </vt:variant>
      <vt:variant>
        <vt:i4>0</vt:i4>
      </vt:variant>
      <vt:variant>
        <vt:i4>5</vt:i4>
      </vt:variant>
      <vt:variant>
        <vt:lpwstr>http://www.socomec.com/range-multi-circuit-metering-measurement_en.html?product=/diris-digiware_en.html&amp;view=picture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SCHOTT Stella</cp:lastModifiedBy>
  <cp:revision>8</cp:revision>
  <cp:lastPrinted>2014-07-30T13:28:00Z</cp:lastPrinted>
  <dcterms:created xsi:type="dcterms:W3CDTF">2014-10-21T15:20:00Z</dcterms:created>
  <dcterms:modified xsi:type="dcterms:W3CDTF">2015-04-09T07:40:00Z</dcterms:modified>
</cp:coreProperties>
</file>