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EEF7F" w14:textId="77777777" w:rsidR="000A38D7" w:rsidRPr="00BC6E1E" w:rsidRDefault="000A38D7" w:rsidP="000A38D7">
      <w:pPr>
        <w:pStyle w:val="TitleSub"/>
        <w:rPr>
          <w:rFonts w:ascii="Arial Narrow" w:hAnsi="Arial Narrow"/>
          <w:b w:val="0"/>
          <w:sz w:val="28"/>
        </w:rPr>
      </w:pPr>
      <w:bookmarkStart w:id="0" w:name="_GoBack"/>
      <w:bookmarkEnd w:id="0"/>
      <w:r>
        <w:rPr>
          <w:rFonts w:ascii="Arial Narrow" w:hAnsi="Arial Narrow"/>
          <w:b w:val="0"/>
          <w:sz w:val="28"/>
        </w:rPr>
        <w:t>DANE TECHNICZNE</w:t>
      </w:r>
    </w:p>
    <w:p w14:paraId="584EEF80" w14:textId="77777777" w:rsidR="000A38D7" w:rsidRPr="00BC6E1E" w:rsidRDefault="00D45A37" w:rsidP="000A38D7">
      <w:pPr>
        <w:spacing w:before="600"/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/>
          <w:b/>
          <w:sz w:val="32"/>
        </w:rPr>
        <w:t>DIRIS Digiware</w:t>
      </w:r>
    </w:p>
    <w:p w14:paraId="584EEF81" w14:textId="77777777" w:rsidR="000A38D7" w:rsidRPr="00BC6E1E" w:rsidRDefault="000A38D7" w:rsidP="000A38D7">
      <w:pPr>
        <w:pStyle w:val="TitleSub"/>
        <w:rPr>
          <w:rFonts w:ascii="Arial Narrow" w:hAnsi="Arial Narrow"/>
        </w:rPr>
      </w:pPr>
    </w:p>
    <w:p w14:paraId="584EEF82" w14:textId="77777777" w:rsidR="000A38D7" w:rsidRPr="00C63835" w:rsidRDefault="00D45A37" w:rsidP="000A38D7">
      <w:pPr>
        <w:pStyle w:val="TitleSub"/>
        <w:rPr>
          <w:rFonts w:ascii="Arial Narrow" w:eastAsia="Calibri" w:hAnsi="Arial Narrow" w:cs="HelveticaNeueLTCom-Lt"/>
          <w:b w:val="0"/>
          <w:bCs w:val="0"/>
          <w:kern w:val="0"/>
          <w:sz w:val="20"/>
          <w:szCs w:val="20"/>
        </w:rPr>
      </w:pPr>
      <w:r>
        <w:rPr>
          <w:rFonts w:ascii="Arial Narrow" w:hAnsi="Arial Narrow"/>
          <w:sz w:val="28"/>
        </w:rPr>
        <w:t xml:space="preserve">Wieloobwodowy system typu Plug and Play do pomiarów i monitorowania parametrów zasilania </w:t>
      </w:r>
    </w:p>
    <w:p w14:paraId="584EEF83" w14:textId="77777777" w:rsidR="000A38D7" w:rsidRPr="00BC6E1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584EEF84" w14:textId="77777777" w:rsidR="000A38D7" w:rsidRPr="002C176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584EEF85" w14:textId="77777777" w:rsidR="00680B63" w:rsidRPr="002C176E" w:rsidRDefault="00680B63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584EEF86" w14:textId="77777777" w:rsidR="00594B0C" w:rsidRPr="00BC6E1E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Cel specyfikacji</w:t>
      </w:r>
    </w:p>
    <w:p w14:paraId="584EEF87" w14:textId="77777777" w:rsidR="00A54BC0" w:rsidRPr="00BC6E1E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</w:p>
    <w:p w14:paraId="584EEF88" w14:textId="77777777" w:rsidR="00A54BC0" w:rsidRPr="00BC6E1E" w:rsidRDefault="00A54BC0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Niniejsza certyfikacja opisuje wielofunkcyjny, wieloobwodowy system pomiarowy z powiązanymi czujnikami prądu, zaprojektowany do mierzenia, monitorowania i zarządzania energią w ramach instalacji elektrycznej.</w:t>
      </w:r>
    </w:p>
    <w:p w14:paraId="584EEF89" w14:textId="77777777" w:rsidR="00A54BC0" w:rsidRPr="00BC6E1E" w:rsidRDefault="00A54BC0" w:rsidP="00A54BC0">
      <w:pPr>
        <w:jc w:val="both"/>
        <w:rPr>
          <w:rFonts w:ascii="Arial Narrow" w:eastAsia="Calibri" w:hAnsi="Arial Narrow" w:cs="HelveticaNeueLTCom-Lt"/>
        </w:rPr>
      </w:pPr>
    </w:p>
    <w:p w14:paraId="584EEF8A" w14:textId="77777777" w:rsidR="00A54BC0" w:rsidRPr="00BC6E1E" w:rsidRDefault="00A54BC0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Wzorcem technicznym jest SOCOMEC DIRIS Digiware lub podobny i zaakceptowany.</w:t>
      </w:r>
    </w:p>
    <w:p w14:paraId="584EEF8B" w14:textId="77777777" w:rsidR="00A54BC0" w:rsidRPr="00BC6E1E" w:rsidRDefault="00A54BC0" w:rsidP="00A54BC0">
      <w:pPr>
        <w:jc w:val="both"/>
        <w:rPr>
          <w:rFonts w:ascii="Arial Narrow" w:eastAsia="Calibri" w:hAnsi="Arial Narrow" w:cs="Optima LT Std"/>
          <w:b/>
          <w:bCs/>
          <w:iCs/>
        </w:rPr>
      </w:pPr>
    </w:p>
    <w:p w14:paraId="584EEF8C" w14:textId="77777777" w:rsidR="00594B0C" w:rsidRPr="00BC6E1E" w:rsidRDefault="00A54BC0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Cechy ogólne</w:t>
      </w:r>
    </w:p>
    <w:p w14:paraId="584EEF8D" w14:textId="77777777" w:rsidR="00594B0C" w:rsidRPr="00BC6E1E" w:rsidRDefault="00594B0C" w:rsidP="00A54BC0">
      <w:pPr>
        <w:jc w:val="both"/>
        <w:rPr>
          <w:rFonts w:ascii="Arial Narrow" w:hAnsi="Arial Narrow"/>
          <w:b/>
        </w:rPr>
      </w:pPr>
    </w:p>
    <w:p w14:paraId="584EEF8E" w14:textId="77777777" w:rsidR="002A6473" w:rsidRPr="00792C75" w:rsidRDefault="00A54BC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Wielofunkcyjny system pomiarowy powinien być niewielkim urządzeniem PMD* w formacie modułowym, zgodnym ze standardem IEC 61557-12.</w:t>
      </w:r>
    </w:p>
    <w:p w14:paraId="584EEF8F" w14:textId="77777777" w:rsidR="00BA09DC" w:rsidRPr="00792C75" w:rsidRDefault="00BA09D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584EEF90" w14:textId="77777777" w:rsidR="002A6473" w:rsidRPr="00792C75" w:rsidRDefault="00A54BC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Powinien zapewniać wszystkie funkcje pomiarów napięcia, prądu, wyjścia, energii i jakości, a także umożliwiać łączną analizę obciążeń jednofazowych i trójfazowych.</w:t>
      </w:r>
    </w:p>
    <w:p w14:paraId="584EEF91" w14:textId="77777777" w:rsidR="00AF26D5" w:rsidRPr="00792C75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584EEF92" w14:textId="77777777" w:rsidR="00AF26D5" w:rsidRPr="00792C75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System Plug &amp; Play ma być oparty na modułach, które można łączyć bez użycia narzędzi. Powinien oferować automatyczne wykrywanie rodzajów sieci, obciążeń roboczych i wartości znamionowych czujników prądu, weryfikację kierunku przepływu prądu, automatyczną konfigurację rodzajów sieci i obciążeń oraz automatyczne adresowanie urządzeń podłączonych do magistrali Digiware.</w:t>
      </w:r>
    </w:p>
    <w:p w14:paraId="584EEF93" w14:textId="77777777" w:rsidR="00E43B1F" w:rsidRPr="00792C75" w:rsidRDefault="00E43B1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584EEF94" w14:textId="77777777" w:rsidR="00AF26D5" w:rsidRPr="00792C75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Składa się z:</w:t>
      </w:r>
    </w:p>
    <w:p w14:paraId="584EEF95" w14:textId="77777777" w:rsidR="00AF26D5" w:rsidRPr="00792C75" w:rsidRDefault="00AF26D5" w:rsidP="00AF26D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Interfejsu sterującego i zasilania (24 V, prąd stały)</w:t>
      </w:r>
    </w:p>
    <w:p w14:paraId="584EEF96" w14:textId="77777777" w:rsidR="00AF26D5" w:rsidRPr="00792C75" w:rsidRDefault="00AF26D5" w:rsidP="00AF26D5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Za pomocą wyświetlacza zdalnego można obserwować maksymalnie 180 obciążeń</w:t>
      </w:r>
    </w:p>
    <w:p w14:paraId="584EEF97" w14:textId="77777777" w:rsidR="00AF26D5" w:rsidRPr="00792C75" w:rsidRDefault="00AF26D5" w:rsidP="00AF26D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Samodzielnych modułów pomiaru napięcia i prądu</w:t>
      </w:r>
    </w:p>
    <w:p w14:paraId="584EEF98" w14:textId="77777777" w:rsidR="00AF26D5" w:rsidRPr="00792C75" w:rsidRDefault="00AF26D5" w:rsidP="00AF26D5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Moduły są połączone magistralą ze złączem RJ45. Magistrala zapewnia zasilanie modułów oraz ich komunikację, będzie też synchronizować pojedynczy pomiar napięcia z pomiarami prądu dla wszystkich obciążeń. Ta technologia pozwala na skonsolidowanie pomiarów napięcia w jednym punkcie. Każdy moduł pomiaru prądu ma maksymalnie 6 wejść pozwalających na jednoczesny pomiar maksymalnie 6 obciążeń. Wejścia prądu to wejścia typu RJ12, podłączane do powiązanych czujników prądu.</w:t>
      </w:r>
    </w:p>
    <w:p w14:paraId="584EEF99" w14:textId="77777777" w:rsidR="00AF26D5" w:rsidRPr="00792C75" w:rsidRDefault="00AF26D5" w:rsidP="00AF26D5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  <w:color w:val="000000"/>
        </w:rPr>
        <w:t>Moduły pomiarowe z modułami 1 (18 mm), 1.5 (26 mm) lub 2 (36 mm) można zamontować na szynie DIN lub na płycie tylnej.</w:t>
      </w:r>
    </w:p>
    <w:p w14:paraId="584EEF9A" w14:textId="77777777" w:rsidR="00AF26D5" w:rsidRPr="00792C75" w:rsidRDefault="00AF26D5" w:rsidP="00AF26D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Czujniki prądu</w:t>
      </w:r>
    </w:p>
    <w:p w14:paraId="584EEF9B" w14:textId="77777777" w:rsidR="00605280" w:rsidRPr="00792C75" w:rsidRDefault="00605280" w:rsidP="002C176E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Dokładność pomiarów jest zapewniana przez system (moduły i czujniki pomiarowe), zgodnie ze standardem IEC 61557-12: klasa 0.5 od 2 do 120% prądu znamionowego (In) przy użyciu czujnika prądu TE.</w:t>
      </w:r>
    </w:p>
    <w:p w14:paraId="584EEF9C" w14:textId="77777777" w:rsidR="00554DC9" w:rsidRPr="00A54BC0" w:rsidRDefault="00FF6F16" w:rsidP="002C176E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It"/>
          <w:i/>
          <w:sz w:val="18"/>
          <w:szCs w:val="18"/>
        </w:rPr>
      </w:pPr>
      <w:r>
        <w:rPr>
          <w:rFonts w:ascii="Arial Narrow" w:eastAsia="Calibri" w:hAnsi="Arial Narrow" w:cs="HelveticaNeueLTCom-LtIt"/>
          <w:sz w:val="18"/>
        </w:rPr>
        <w:br/>
      </w:r>
      <w:r>
        <w:rPr>
          <w:rFonts w:ascii="Arial Narrow" w:hAnsi="Arial Narrow"/>
          <w:i/>
          <w:sz w:val="18"/>
        </w:rPr>
        <w:t>*PMD: Performance Measuring and monitoring Device — urządzenie mierzące i monitorujące wydajność, zgodnie ze standardem IEC 61557-12.</w:t>
      </w:r>
    </w:p>
    <w:p w14:paraId="584EEF9D" w14:textId="77777777" w:rsidR="002A6473" w:rsidRPr="00BC6E1E" w:rsidRDefault="002A6473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584EEF9E" w14:textId="77777777" w:rsidR="006A7AC0" w:rsidRPr="00A54BC0" w:rsidRDefault="006A7AC0" w:rsidP="00A54BC0">
      <w:pPr>
        <w:jc w:val="both"/>
        <w:rPr>
          <w:rFonts w:ascii="Arial Narrow" w:hAnsi="Arial Narrow"/>
          <w:b/>
        </w:rPr>
      </w:pPr>
    </w:p>
    <w:p w14:paraId="584EEF9F" w14:textId="77777777" w:rsidR="00605280" w:rsidRPr="00BC6E1E" w:rsidRDefault="00605280" w:rsidP="002C176E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Czujniki prądu stanowią integralną część systemu pomiarowego i z tego względu muszą pochodzić od tego samego producenta, co moduły pomiarowe.</w:t>
      </w:r>
    </w:p>
    <w:p w14:paraId="584EEFA0" w14:textId="77777777" w:rsidR="00605280" w:rsidRPr="00A54BC0" w:rsidRDefault="0060528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584EEFA1" w14:textId="77777777" w:rsidR="00554846" w:rsidRPr="00A54BC0" w:rsidRDefault="00605280" w:rsidP="002C176E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Umożliwiają bezpieczne podłączanie i odłączanie czujników prądu. </w:t>
      </w:r>
    </w:p>
    <w:p w14:paraId="584EEFA2" w14:textId="77777777" w:rsidR="00554846" w:rsidRPr="00A54BC0" w:rsidRDefault="00554846" w:rsidP="002C176E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Aby zapobiec ryzyku błędów podczas instalacji, są automatycznie identyfikowane (rodzaj, wartość znamionowa, kierunek prądu) przez urządzenie pomiarowe.</w:t>
      </w:r>
    </w:p>
    <w:p w14:paraId="584EEFA3" w14:textId="77777777" w:rsidR="00554846" w:rsidRPr="00A54BC0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584EEFA4" w14:textId="77777777" w:rsidR="00554846" w:rsidRPr="00A54BC0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Jeżeli w trakcie konfiguracji zostanie wykryty błąd instalacji, automatycznie generowany jest alarm.</w:t>
      </w:r>
    </w:p>
    <w:p w14:paraId="584EEFA5" w14:textId="77777777" w:rsidR="00554846" w:rsidRPr="00A54BC0" w:rsidRDefault="00554846" w:rsidP="00A54BC0">
      <w:pPr>
        <w:jc w:val="both"/>
        <w:rPr>
          <w:rFonts w:ascii="Arial Narrow" w:eastAsia="Calibri" w:hAnsi="Arial Narrow" w:cs="HelveticaNeueLTCom-Lt"/>
        </w:rPr>
      </w:pPr>
    </w:p>
    <w:p w14:paraId="584EEFA6" w14:textId="77777777" w:rsidR="00554846" w:rsidRPr="00A54BC0" w:rsidRDefault="000D602B" w:rsidP="000D602B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lastRenderedPageBreak/>
        <w:t xml:space="preserve">System pomiarowy powinien być zdolny do adaptacji do dowolnego rodzaju nowych lub istniejących instalacji, przy użyciu czujników sztywnych TE od 5 A do 1000 A, czujników z rdzeniem otwartym TR od 25 A do 600 A i czujników elastycznych od 150 A do 6000 A. </w:t>
      </w:r>
    </w:p>
    <w:p w14:paraId="584EEFA7" w14:textId="77777777" w:rsidR="00554846" w:rsidRPr="00A54BC0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584EEFA8" w14:textId="77777777" w:rsidR="00554846" w:rsidRPr="00A54BC0" w:rsidRDefault="00554846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Aby ułatwić ich integrację, sztywne czujniki prądu można zamontować bezpośrednio na wszystkich rodzajach przewodników (przewód, elastyczna lub sztywna szyna magistrali) lub na szynie DIN albo płycie tylnej.</w:t>
      </w:r>
      <w:r>
        <w:rPr>
          <w:rFonts w:ascii="Arial Narrow" w:eastAsia="Calibri" w:hAnsi="Arial Narrow" w:cs="HelveticaNeueLTCom-Lt"/>
        </w:rPr>
        <w:br/>
      </w:r>
    </w:p>
    <w:p w14:paraId="584EEFA9" w14:textId="77777777" w:rsidR="00554846" w:rsidRPr="00BC6E1E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Czujniki te można zamontować w linii lub układzie schodkowym, odpowiednio do używanego urządzenia ochronnego</w:t>
      </w:r>
    </w:p>
    <w:p w14:paraId="584EEFAA" w14:textId="77777777" w:rsidR="00B03A85" w:rsidRPr="00A54BC0" w:rsidRDefault="00B03A85" w:rsidP="00A54BC0">
      <w:pPr>
        <w:jc w:val="both"/>
        <w:rPr>
          <w:rFonts w:ascii="Arial Narrow" w:hAnsi="Arial Narrow"/>
          <w:b/>
        </w:rPr>
      </w:pPr>
    </w:p>
    <w:p w14:paraId="584EEFAB" w14:textId="77777777" w:rsidR="00B03A85" w:rsidRPr="00A54BC0" w:rsidRDefault="00B03A85" w:rsidP="00A54BC0">
      <w:pPr>
        <w:jc w:val="both"/>
        <w:rPr>
          <w:rFonts w:ascii="Arial Narrow" w:hAnsi="Arial Narrow"/>
          <w:b/>
        </w:rPr>
      </w:pPr>
    </w:p>
    <w:p w14:paraId="584EEFAC" w14:textId="77777777" w:rsidR="00594B0C" w:rsidRPr="00A54BC0" w:rsidRDefault="00594B0C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Konfiguracja</w:t>
      </w:r>
    </w:p>
    <w:p w14:paraId="584EEFAD" w14:textId="77777777" w:rsidR="00594B0C" w:rsidRPr="00A54BC0" w:rsidRDefault="00594B0C" w:rsidP="00A54BC0">
      <w:pPr>
        <w:jc w:val="both"/>
        <w:rPr>
          <w:rFonts w:ascii="Arial Narrow" w:hAnsi="Arial Narrow"/>
          <w:b/>
        </w:rPr>
      </w:pPr>
    </w:p>
    <w:p w14:paraId="584EEFAE" w14:textId="77777777" w:rsidR="007D18ED" w:rsidRPr="00BC6E1E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</w:rPr>
      </w:pPr>
      <w:r>
        <w:rPr>
          <w:rFonts w:ascii="Arial Narrow" w:hAnsi="Arial Narrow"/>
        </w:rPr>
        <w:t>System pomiarowy powinien być konfigurowany automatycznie:</w:t>
      </w:r>
    </w:p>
    <w:p w14:paraId="584EEFAF" w14:textId="77777777" w:rsidR="007D18ED" w:rsidRPr="00A54BC0" w:rsidRDefault="007D18ED" w:rsidP="00A54BC0">
      <w:pPr>
        <w:autoSpaceDE w:val="0"/>
        <w:autoSpaceDN w:val="0"/>
        <w:adjustRightInd w:val="0"/>
        <w:spacing w:after="10"/>
        <w:ind w:left="720"/>
        <w:jc w:val="both"/>
        <w:rPr>
          <w:rFonts w:ascii="Arial Narrow" w:eastAsia="Calibri" w:hAnsi="Arial Narrow" w:cs="HelveticaNeueLTCom-Lt"/>
        </w:rPr>
      </w:pPr>
    </w:p>
    <w:p w14:paraId="584EEFB0" w14:textId="77777777" w:rsidR="007D18ED" w:rsidRPr="00A54BC0" w:rsidRDefault="005D0122" w:rsidP="000D602B">
      <w:pPr>
        <w:autoSpaceDE w:val="0"/>
        <w:autoSpaceDN w:val="0"/>
        <w:adjustRightInd w:val="0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b/>
        </w:rPr>
        <w:t>Liczba obciążeń</w:t>
      </w:r>
      <w:r>
        <w:rPr>
          <w:rFonts w:ascii="Arial Narrow" w:eastAsia="Calibri" w:hAnsi="Arial Narrow" w:cs="Calibri"/>
          <w:color w:val="000000"/>
        </w:rPr>
        <w:br/>
      </w:r>
      <w:r>
        <w:rPr>
          <w:rFonts w:ascii="Arial Narrow" w:hAnsi="Arial Narrow"/>
        </w:rPr>
        <w:t>Jednocześnie można mierzyć maksymalnie 6 obciążeń, na co pozwalają niezależne wejścia prądu</w:t>
      </w:r>
      <w:r>
        <w:rPr>
          <w:rFonts w:ascii="Arial Narrow" w:hAnsi="Arial Narrow"/>
          <w:color w:val="000000"/>
        </w:rPr>
        <w:t xml:space="preserve">, umożliwiające większą elastyczność w kwestii </w:t>
      </w:r>
      <w:r>
        <w:rPr>
          <w:rFonts w:ascii="Arial Narrow" w:hAnsi="Arial Narrow"/>
        </w:rPr>
        <w:t>montażu w instalacji.</w:t>
      </w:r>
      <w:r>
        <w:rPr>
          <w:rFonts w:ascii="Arial Narrow" w:hAnsi="Arial Narrow"/>
          <w:color w:val="000000"/>
        </w:rPr>
        <w:t xml:space="preserve">  </w:t>
      </w:r>
    </w:p>
    <w:p w14:paraId="584EEFB1" w14:textId="77777777" w:rsidR="007D18ED" w:rsidRPr="00A54BC0" w:rsidRDefault="007D18ED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584EEFB2" w14:textId="77777777" w:rsidR="007D18ED" w:rsidRPr="00A54BC0" w:rsidRDefault="005D0122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b/>
          <w:color w:val="000000"/>
        </w:rPr>
      </w:pPr>
      <w:r>
        <w:rPr>
          <w:rFonts w:ascii="Arial Narrow" w:hAnsi="Arial Narrow"/>
          <w:b/>
        </w:rPr>
        <w:t>• Rodzaj obciążeń</w:t>
      </w:r>
    </w:p>
    <w:p w14:paraId="584EEFB3" w14:textId="77777777" w:rsidR="007D18ED" w:rsidRPr="00A54BC0" w:rsidRDefault="007D18ED" w:rsidP="00192D0D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  <w:color w:val="000000"/>
        </w:rPr>
        <w:t xml:space="preserve">Urządzenie pomiarowe może identyfikować obciążenia jedno-, dwu- i trójfazowe, </w:t>
      </w:r>
      <w:r>
        <w:rPr>
          <w:rFonts w:ascii="Arial Narrow" w:hAnsi="Arial Narrow"/>
        </w:rPr>
        <w:t xml:space="preserve">z przewodem zerowym lub bez niego. Do pomiaru obciążeń symetrycznych i niesymetrycznych może być używanych od 1 do 6 czujników. </w:t>
      </w:r>
      <w:r>
        <w:rPr>
          <w:rFonts w:ascii="Arial Narrow" w:eastAsia="Calibri" w:hAnsi="Arial Narrow" w:cs="HelveticaNeueLTCom-Lt"/>
        </w:rPr>
        <w:br/>
      </w:r>
    </w:p>
    <w:p w14:paraId="584EEFB4" w14:textId="77777777" w:rsidR="007D18ED" w:rsidRPr="00A54BC0" w:rsidRDefault="007D18ED" w:rsidP="00A54BC0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Calibri"/>
          <w:color w:val="000000"/>
        </w:rPr>
      </w:pPr>
    </w:p>
    <w:p w14:paraId="584EEFB5" w14:textId="77777777" w:rsidR="007D18ED" w:rsidRPr="00A54BC0" w:rsidRDefault="005D0122" w:rsidP="00A54BC0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Calibri"/>
          <w:b/>
          <w:color w:val="000000"/>
        </w:rPr>
      </w:pPr>
      <w:r>
        <w:rPr>
          <w:rFonts w:ascii="Arial Narrow" w:hAnsi="Arial Narrow"/>
          <w:b/>
        </w:rPr>
        <w:t xml:space="preserve">• </w:t>
      </w:r>
      <w:r>
        <w:rPr>
          <w:rFonts w:ascii="Arial Narrow" w:hAnsi="Arial Narrow"/>
          <w:b/>
          <w:color w:val="000000"/>
        </w:rPr>
        <w:t xml:space="preserve">Adresowanie komunikacji </w:t>
      </w:r>
    </w:p>
    <w:p w14:paraId="584EEFB6" w14:textId="77777777" w:rsidR="007D18ED" w:rsidRPr="00A54BC0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Funkcja automatycznego adresowania automatycznie przypisuje adresy Modbus do modułów podłączonych za pośrednictwem bramki Ethernet DIRIS G (patrz oddzielna specyfikacja techniczna) lub ekranu centralnego.</w:t>
      </w:r>
    </w:p>
    <w:p w14:paraId="584EEFB7" w14:textId="77777777" w:rsidR="007D18ED" w:rsidRPr="00A54BC0" w:rsidRDefault="00AC727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>System pomiarowy można też skonfigurować za pośrednictwem połączenia USB lub sieci komunikacyjnej (RS485/Ethernet), używając ekranu zdalnego lub oprogramowania konfiguracyjnego.</w:t>
      </w:r>
    </w:p>
    <w:p w14:paraId="584EEFB8" w14:textId="77777777" w:rsidR="007D18ED" w:rsidRPr="00A54BC0" w:rsidRDefault="007D18ED" w:rsidP="00A54BC0">
      <w:pPr>
        <w:jc w:val="both"/>
        <w:rPr>
          <w:rFonts w:ascii="Arial Narrow" w:hAnsi="Arial Narrow"/>
          <w:b/>
        </w:rPr>
      </w:pPr>
    </w:p>
    <w:p w14:paraId="584EEFB9" w14:textId="77777777" w:rsidR="001A3B19" w:rsidRPr="00A54BC0" w:rsidRDefault="001A3B19" w:rsidP="00A54BC0">
      <w:pPr>
        <w:jc w:val="both"/>
        <w:rPr>
          <w:rFonts w:ascii="Arial Narrow" w:hAnsi="Arial Narrow"/>
          <w:b/>
        </w:rPr>
      </w:pPr>
    </w:p>
    <w:p w14:paraId="584EEFBA" w14:textId="77777777" w:rsidR="001A3B19" w:rsidRPr="00BC6E1E" w:rsidRDefault="007825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Funkcje i wydajność</w:t>
      </w:r>
    </w:p>
    <w:p w14:paraId="584EEFBB" w14:textId="77777777" w:rsidR="00680B63" w:rsidRPr="00BC6E1E" w:rsidRDefault="00680B63" w:rsidP="00680B63">
      <w:pPr>
        <w:jc w:val="both"/>
        <w:rPr>
          <w:rFonts w:ascii="Arial Narrow" w:hAnsi="Arial Narrow"/>
          <w:b/>
          <w:sz w:val="24"/>
          <w:szCs w:val="24"/>
        </w:rPr>
      </w:pPr>
    </w:p>
    <w:p w14:paraId="584EEFBC" w14:textId="77777777" w:rsidR="00680B63" w:rsidRPr="00BC6E1E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W odniesieniu do funkcji system pomiarowy musi spełniać następujące wymogi:</w:t>
      </w:r>
    </w:p>
    <w:p w14:paraId="584EEFBD" w14:textId="77777777" w:rsidR="006928E7" w:rsidRPr="00A54BC0" w:rsidRDefault="006928E7" w:rsidP="00A54BC0">
      <w:pPr>
        <w:jc w:val="both"/>
        <w:rPr>
          <w:rFonts w:ascii="Arial Narrow" w:hAnsi="Arial Narrow"/>
          <w:b/>
        </w:rPr>
      </w:pPr>
    </w:p>
    <w:p w14:paraId="584EEFBE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b/>
        </w:rPr>
        <w:t>Parametry ogólne</w:t>
      </w:r>
    </w:p>
    <w:p w14:paraId="584EEFBF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Prąd, częstotliwość, wartości elektryczne napięcia</w:t>
      </w:r>
    </w:p>
    <w:p w14:paraId="584EEFC0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Moc aktywna, bierna i pozorna, współczynnik mocy, cos phi i tan phi</w:t>
      </w:r>
    </w:p>
    <w:p w14:paraId="584EEFC1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Działanie w 4 kwadrantach</w:t>
      </w:r>
    </w:p>
    <w:p w14:paraId="584EEFC2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Moc predykcyjna</w:t>
      </w:r>
    </w:p>
    <w:p w14:paraId="584EEFC3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Pomiary będą dostępne z następującymi wartościami:</w:t>
      </w:r>
    </w:p>
    <w:p w14:paraId="584EEFC4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chwilowe</w:t>
      </w:r>
    </w:p>
    <w:p w14:paraId="584EEFC5" w14:textId="77777777" w:rsidR="00771869" w:rsidRPr="00192D0D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chwilowe maksymalne (z sygnaturą czasową)</w:t>
      </w:r>
    </w:p>
    <w:p w14:paraId="584EEFC6" w14:textId="77777777" w:rsidR="00771869" w:rsidRPr="00192D0D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chwilowe minimalne (z sygnaturą czasową)</w:t>
      </w:r>
    </w:p>
    <w:p w14:paraId="584EEFC7" w14:textId="77777777" w:rsidR="00771869" w:rsidRPr="00192D0D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średnie</w:t>
      </w:r>
    </w:p>
    <w:p w14:paraId="584EEFC8" w14:textId="77777777" w:rsidR="00771869" w:rsidRPr="00192D0D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średnie maksymalne (z sygnaturą czasową)</w:t>
      </w:r>
    </w:p>
    <w:p w14:paraId="584EEFC9" w14:textId="77777777" w:rsidR="00771869" w:rsidRDefault="00771869" w:rsidP="00680B63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średnie minimalne (z sygnaturą czasową)</w:t>
      </w:r>
      <w:r>
        <w:rPr>
          <w:rFonts w:ascii="Arial Narrow" w:eastAsia="Calibri" w:hAnsi="Arial Narrow" w:cs="HelveticaNeueLTCom-Lt"/>
        </w:rPr>
        <w:br/>
      </w:r>
    </w:p>
    <w:p w14:paraId="584EEFCA" w14:textId="77777777" w:rsidR="00680B63" w:rsidRPr="00BC6E1E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b/>
        </w:rPr>
        <w:t>Parametry szczegółowe</w:t>
      </w:r>
    </w:p>
    <w:p w14:paraId="584EEFCB" w14:textId="77777777" w:rsidR="00680B63" w:rsidRPr="00BC6E1E" w:rsidRDefault="00295634" w:rsidP="00680B63">
      <w:pPr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W powiązanym module pomiaru napięcia</w:t>
      </w:r>
    </w:p>
    <w:p w14:paraId="584EEFCC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U12, U23, U31, V1, V2, V3, VN, F</w:t>
      </w:r>
    </w:p>
    <w:p w14:paraId="584EEFCD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system U, system V</w:t>
      </w:r>
    </w:p>
    <w:p w14:paraId="584EEFCE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niesymetryczność Ph/N (składniki pośrednie, odwrotne i jednakobiegunowe oraz niesymetryczność)</w:t>
      </w:r>
    </w:p>
    <w:p w14:paraId="584EEFCF" w14:textId="77777777" w:rsidR="00680B63" w:rsidRPr="00A54BC0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niesymetryczność Ph/Ph (składniki pośrednie i odwrotne oraz niesymetryczność)</w:t>
      </w:r>
    </w:p>
    <w:p w14:paraId="584EEFD0" w14:textId="77777777" w:rsidR="00680B63" w:rsidRPr="00680B63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THD U, THD V</w:t>
      </w:r>
    </w:p>
    <w:p w14:paraId="584EEFD1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Indywidualne harmoniczne U i V (do rzędu 63)</w:t>
      </w:r>
    </w:p>
    <w:p w14:paraId="584EEFD2" w14:textId="77777777" w:rsidR="00680B63" w:rsidRPr="00A54BC0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Zapady napięcia, wzrosty i przerwy (zgodnie z normą EN 50160)</w:t>
      </w:r>
    </w:p>
    <w:p w14:paraId="584EEFD3" w14:textId="77777777" w:rsidR="00680B63" w:rsidRPr="00A54BC0" w:rsidRDefault="00680B63" w:rsidP="00680B63">
      <w:pPr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584EEFD4" w14:textId="77777777" w:rsidR="00680B63" w:rsidRPr="00BC6E1E" w:rsidRDefault="00295634" w:rsidP="00680B63">
      <w:pPr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W powiązanym module pomiaru prądu</w:t>
      </w:r>
    </w:p>
    <w:p w14:paraId="584EEFD5" w14:textId="77777777" w:rsidR="00680B63" w:rsidRPr="00BC6E1E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</w:rPr>
      </w:pPr>
      <w:r>
        <w:rPr>
          <w:rFonts w:ascii="Arial Narrow" w:hAnsi="Arial Narrow"/>
        </w:rPr>
        <w:t>- 3, 4 lub 6 kanałów prądu, zależnie od modułu</w:t>
      </w:r>
    </w:p>
    <w:p w14:paraId="584EEFD6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I1, I2, I3, IN, </w:t>
      </w:r>
      <w:r>
        <w:rPr>
          <w:rFonts w:ascii="Arial Narrow" w:eastAsia="Calibri" w:hAnsi="Arial Narrow" w:cs="Symbol"/>
        </w:rPr>
        <w:sym w:font="Symbol" w:char="F0E5"/>
      </w:r>
      <w:r>
        <w:rPr>
          <w:rFonts w:ascii="Arial Narrow" w:hAnsi="Arial Narrow"/>
        </w:rPr>
        <w:t xml:space="preserve">P, </w:t>
      </w:r>
      <w:r>
        <w:rPr>
          <w:rFonts w:ascii="Arial Narrow" w:eastAsia="Calibri" w:hAnsi="Arial Narrow" w:cs="Symbol"/>
        </w:rPr>
        <w:sym w:font="Symbol" w:char="F0E5"/>
      </w:r>
      <w:r>
        <w:rPr>
          <w:rFonts w:ascii="Arial Narrow" w:hAnsi="Arial Narrow"/>
        </w:rPr>
        <w:t xml:space="preserve">Q, </w:t>
      </w:r>
      <w:r>
        <w:rPr>
          <w:rFonts w:ascii="Arial Narrow" w:eastAsia="Calibri" w:hAnsi="Arial Narrow" w:cs="Symbol"/>
        </w:rPr>
        <w:sym w:font="Symbol" w:char="F0E5"/>
      </w:r>
      <w:r>
        <w:rPr>
          <w:rFonts w:ascii="Arial Narrow" w:hAnsi="Arial Narrow"/>
        </w:rPr>
        <w:t xml:space="preserve">S, </w:t>
      </w:r>
      <w:r>
        <w:rPr>
          <w:rFonts w:ascii="Arial Narrow" w:eastAsia="Calibri" w:hAnsi="Arial Narrow" w:cs="Symbol"/>
        </w:rPr>
        <w:sym w:font="Symbol" w:char="F0E5"/>
      </w:r>
      <w:r>
        <w:rPr>
          <w:rFonts w:ascii="Arial Narrow" w:hAnsi="Arial Narrow"/>
        </w:rPr>
        <w:t>PF</w:t>
      </w:r>
    </w:p>
    <w:p w14:paraId="584EEFD7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lastRenderedPageBreak/>
        <w:t>- P, Q, S, PF na fazę</w:t>
      </w:r>
    </w:p>
    <w:p w14:paraId="584EEFD8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Moc predykcyjna</w:t>
      </w:r>
    </w:p>
    <w:p w14:paraId="584EEFD9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System I</w:t>
      </w:r>
    </w:p>
    <w:p w14:paraId="584EEFDA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niesymetryczność prądu (składniki pośrednie, odwrotne i jednakobiegunowe oraz niesymetryczność)</w:t>
      </w:r>
    </w:p>
    <w:p w14:paraId="584EEFDB" w14:textId="77777777" w:rsidR="00680B63" w:rsidRPr="00A54BC0" w:rsidRDefault="00680B63" w:rsidP="00680B63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- Phi, cos Phi, tan Phi</w:t>
      </w:r>
    </w:p>
    <w:p w14:paraId="584EEFDC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Krzywe obciążeń (11 dni na wartościach 10-minutowych)</w:t>
      </w:r>
    </w:p>
    <w:p w14:paraId="584EEFDD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Współczynnik THDI i indywidualne harmoniczne (do rzędu 63)</w:t>
      </w:r>
    </w:p>
    <w:p w14:paraId="584EEFDE" w14:textId="77777777" w:rsidR="00680B63" w:rsidRPr="00A54BC0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Przetężenie </w:t>
      </w:r>
    </w:p>
    <w:p w14:paraId="584EEFDF" w14:textId="77777777" w:rsidR="00680B63" w:rsidRPr="00295634" w:rsidRDefault="00680B63" w:rsidP="00DC0E8F">
      <w:pPr>
        <w:autoSpaceDE w:val="0"/>
        <w:autoSpaceDN w:val="0"/>
        <w:adjustRightInd w:val="0"/>
        <w:rPr>
          <w:rFonts w:ascii="Arial Narrow" w:eastAsia="Calibri" w:hAnsi="Arial Narrow" w:cs="HelveticaNeueLTCom-Md"/>
        </w:rPr>
      </w:pPr>
      <w:r>
        <w:rPr>
          <w:rFonts w:ascii="Arial Narrow" w:hAnsi="Arial Narrow"/>
        </w:rPr>
        <w:t>- Alarmy na progach i wejściach</w:t>
      </w:r>
      <w:r>
        <w:rPr>
          <w:rFonts w:ascii="Arial Narrow" w:eastAsia="Calibri" w:hAnsi="Arial Narrow" w:cs="HelveticaNeueLTCom-Lt"/>
        </w:rPr>
        <w:br/>
      </w:r>
      <w:r>
        <w:rPr>
          <w:rFonts w:ascii="Arial Narrow" w:hAnsi="Arial Narrow"/>
        </w:rPr>
        <w:t>- 2 wejścia/2 wyjścia</w:t>
      </w:r>
    </w:p>
    <w:p w14:paraId="584EEFE0" w14:textId="77777777" w:rsidR="00680B63" w:rsidRDefault="00680B63" w:rsidP="00680B63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</w:p>
    <w:p w14:paraId="584EEFE1" w14:textId="77777777" w:rsidR="006127BF" w:rsidRPr="00A54BC0" w:rsidRDefault="006127B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Pomiary</w:t>
      </w:r>
    </w:p>
    <w:p w14:paraId="584EEFE2" w14:textId="77777777" w:rsidR="006127BF" w:rsidRDefault="006127B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>- ± kWh, ± kwarh (ind. i poj.), kVAh</w:t>
      </w:r>
    </w:p>
    <w:p w14:paraId="584EEFE3" w14:textId="77777777" w:rsidR="00295634" w:rsidRPr="00A54BC0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584EEFE4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Alarm</w:t>
      </w:r>
    </w:p>
    <w:p w14:paraId="584EEFE5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Alarmy z sygnaturą czasową dla wartości chwilowych lub średnich dla pomiaru elektrycznego</w:t>
      </w:r>
    </w:p>
    <w:p w14:paraId="584EEFE6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Możliwość logicznych kombinacji alarmów</w:t>
      </w:r>
    </w:p>
    <w:p w14:paraId="584EEFE7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Predykcyjny inteligentny alarm utraty obciążenia </w:t>
      </w:r>
    </w:p>
    <w:p w14:paraId="584EEFE8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584EEFE9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 xml:space="preserve">• Rejestrowanie danych </w:t>
      </w:r>
    </w:p>
    <w:p w14:paraId="584EEFEA" w14:textId="77777777" w:rsidR="00295634" w:rsidRPr="00A54BC0" w:rsidRDefault="00295634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Rejestrowanie średnich wartości elektrycznych (konfigurowalne: U, F, I, P, Q, S, PF, THD) przez okres 7 dni, wartości 10-minutowe </w:t>
      </w:r>
    </w:p>
    <w:p w14:paraId="584EEFEB" w14:textId="77777777" w:rsidR="00295634" w:rsidRPr="00A54BC0" w:rsidRDefault="00295634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Rejestrowanie i oznaczanie sygnaturami czasowymi minimalnych i maksymalnych wartości elektrycznych</w:t>
      </w:r>
      <w:r>
        <w:rPr>
          <w:rFonts w:ascii="Arial Narrow" w:eastAsia="Calibri" w:hAnsi="Arial Narrow" w:cs="HelveticaNeueLTCom-Lt"/>
        </w:rPr>
        <w:br/>
      </w:r>
      <w:r>
        <w:rPr>
          <w:rFonts w:ascii="Arial Narrow" w:hAnsi="Arial Narrow"/>
        </w:rPr>
        <w:t>- Archiwizowanie wydarzeń:</w:t>
      </w:r>
    </w:p>
    <w:p w14:paraId="584EEFEC" w14:textId="77777777" w:rsidR="00295634" w:rsidRPr="00A54BC0" w:rsidRDefault="00295634" w:rsidP="00C63835">
      <w:pPr>
        <w:pStyle w:val="Paragraphedeliste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Rejestrowanie wydarzeń i przeciążeń prądowych określonych w normie EN 50160</w:t>
      </w:r>
    </w:p>
    <w:p w14:paraId="584EEFED" w14:textId="77777777" w:rsidR="00295634" w:rsidRPr="00A54BC0" w:rsidRDefault="00295634" w:rsidP="00C63835">
      <w:pPr>
        <w:pStyle w:val="Paragraphedeliste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Rejestrowanie alarmów pomiarowych</w:t>
      </w:r>
    </w:p>
    <w:p w14:paraId="584EEFEE" w14:textId="77777777" w:rsidR="00295634" w:rsidRPr="00A54BC0" w:rsidRDefault="00295634" w:rsidP="00C63835">
      <w:pPr>
        <w:pStyle w:val="Paragraphedeliste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Rejestrowanie alarmów systemowych</w:t>
      </w:r>
    </w:p>
    <w:p w14:paraId="584EEFEF" w14:textId="77777777" w:rsidR="00295634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584EEFF0" w14:textId="77777777" w:rsidR="00295634" w:rsidRPr="00BC6E1E" w:rsidRDefault="00295634" w:rsidP="00295634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Pod względem wydajności system musi osiągnąć następujące poziomy dokładności:</w:t>
      </w:r>
    </w:p>
    <w:p w14:paraId="584EEFF1" w14:textId="77777777" w:rsidR="00295634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584EEFF2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Dokładność łańcucha pomiarowego</w:t>
      </w:r>
    </w:p>
    <w:p w14:paraId="584EEFF3" w14:textId="77777777" w:rsidR="00771869" w:rsidRPr="00A54BC0" w:rsidRDefault="00771869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Połączenie urządzeń i czujników pomiarowych pozwala na zapewnienie następującej ogólnej dokładności łańcucha pomiarowego w przypadku mocy i energii (kWh):</w:t>
      </w:r>
    </w:p>
    <w:p w14:paraId="584EEFF4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584EEFF5" w14:textId="77777777" w:rsidR="00771869" w:rsidRPr="00A54BC0" w:rsidRDefault="00771869" w:rsidP="00295634">
      <w:pPr>
        <w:autoSpaceDE w:val="0"/>
        <w:autoSpaceDN w:val="0"/>
        <w:adjustRightInd w:val="0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  <w:b/>
          <w:color w:val="000000"/>
        </w:rPr>
        <w:t xml:space="preserve">Klasa 0.5 zgodnie z normą IEC 61557-12: </w:t>
      </w:r>
      <w:r>
        <w:rPr>
          <w:rFonts w:ascii="Arial Narrow" w:hAnsi="Arial Narrow"/>
        </w:rPr>
        <w:t>od 2 do 120% prądu znamionowego dla całego łańcucha pomiarowego (moduł pomiarowy + czujniki prądu)</w:t>
      </w:r>
      <w:r>
        <w:rPr>
          <w:rFonts w:ascii="Arial Narrow" w:eastAsia="Calibri" w:hAnsi="Arial Narrow" w:cs="Calibri"/>
          <w:color w:val="000000"/>
        </w:rPr>
        <w:br/>
      </w:r>
    </w:p>
    <w:p w14:paraId="584EEFF6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  <w:b/>
          <w:color w:val="000000"/>
        </w:rPr>
        <w:t xml:space="preserve">Klasa 0.2 zgodnie z normą IEC 61557-12: </w:t>
      </w:r>
      <w:r>
        <w:rPr>
          <w:rFonts w:ascii="Arial Narrow" w:hAnsi="Arial Narrow"/>
          <w:color w:val="000000"/>
        </w:rPr>
        <w:t>Dokładność 0,2% wyłącznie dla modułu pomiarowego</w:t>
      </w:r>
    </w:p>
    <w:p w14:paraId="584EEFF7" w14:textId="77777777" w:rsidR="00782509" w:rsidRPr="00A54BC0" w:rsidRDefault="0078250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584EEFF8" w14:textId="77777777" w:rsidR="00885154" w:rsidRPr="00BC6E1E" w:rsidRDefault="00295634" w:rsidP="00295634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Opcje</w:t>
      </w:r>
    </w:p>
    <w:p w14:paraId="584EEFF9" w14:textId="77777777" w:rsidR="008405F6" w:rsidRPr="00BC6E1E" w:rsidRDefault="00295634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Ekran interfejsu sterującego DIRIS Digiware D-50 musi mieć następujące cechy:</w:t>
      </w:r>
    </w:p>
    <w:p w14:paraId="584EEFFA" w14:textId="77777777" w:rsidR="00295634" w:rsidRPr="00BC6E1E" w:rsidRDefault="00295634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Ekran graficzny o wysokiej rozdzielczości</w:t>
      </w:r>
    </w:p>
    <w:p w14:paraId="584EEFFB" w14:textId="77777777" w:rsidR="00295634" w:rsidRPr="00BC6E1E" w:rsidRDefault="00295634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Zasilanie prądem stały 24 V, by zapobiec niebezpiecznemu napięciu na drzwiczkach</w:t>
      </w:r>
    </w:p>
    <w:p w14:paraId="584EEFFC" w14:textId="77777777" w:rsidR="00295634" w:rsidRPr="00BC6E1E" w:rsidRDefault="00295634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 xml:space="preserve">Panel przedni o klasie ochrony IP65 </w:t>
      </w:r>
    </w:p>
    <w:p w14:paraId="584EEFFD" w14:textId="77777777" w:rsidR="00295634" w:rsidRPr="00BC6E1E" w:rsidRDefault="00F82189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10 kluczy dostępu bezpośredniego do informacji pomiarowych, wybranych wyjść i konfiguracji sprzętu</w:t>
      </w:r>
    </w:p>
    <w:p w14:paraId="584EEFFE" w14:textId="77777777" w:rsidR="00DC0E8F" w:rsidRPr="00BC6E1E" w:rsidRDefault="00DC0E8F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Bramka RS485/Ethernet udostępniająca wszystkie dane pomiarowe i alarmowe z mierników i urządzeń pomiarowych</w:t>
      </w:r>
    </w:p>
    <w:p w14:paraId="584EEFFF" w14:textId="77777777" w:rsidR="00295634" w:rsidRPr="00BC6E1E" w:rsidRDefault="00295634" w:rsidP="00A54BC0">
      <w:pPr>
        <w:jc w:val="both"/>
        <w:rPr>
          <w:rFonts w:ascii="Arial Narrow" w:hAnsi="Arial Narrow"/>
          <w:b/>
        </w:rPr>
      </w:pPr>
    </w:p>
    <w:p w14:paraId="584EF000" w14:textId="77777777" w:rsidR="00295634" w:rsidRPr="00BC6E1E" w:rsidRDefault="00DC0E8F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Tablet DIRIS D-90 ma 10-calowy ekran dotykowy. Można go zamontować na drzwiach albo korzystać z niego w innym pomieszczeniu.</w:t>
      </w:r>
    </w:p>
    <w:p w14:paraId="584EF001" w14:textId="77777777" w:rsidR="000853A1" w:rsidRPr="00A54BC0" w:rsidRDefault="000853A1" w:rsidP="00A54BC0">
      <w:pPr>
        <w:jc w:val="both"/>
        <w:rPr>
          <w:rFonts w:ascii="Arial Narrow" w:hAnsi="Arial Narrow"/>
        </w:rPr>
      </w:pPr>
    </w:p>
    <w:sectPr w:rsidR="000853A1" w:rsidRPr="00A54BC0" w:rsidSect="00605280">
      <w:footerReference w:type="default" r:id="rId8"/>
      <w:pgSz w:w="11906" w:h="16838"/>
      <w:pgMar w:top="1418" w:right="1418" w:bottom="567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EF004" w14:textId="77777777" w:rsidR="00674F6B" w:rsidRDefault="00674F6B" w:rsidP="00605280">
      <w:r>
        <w:separator/>
      </w:r>
    </w:p>
  </w:endnote>
  <w:endnote w:type="continuationSeparator" w:id="0">
    <w:p w14:paraId="584EF005" w14:textId="77777777" w:rsidR="00674F6B" w:rsidRDefault="00674F6B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Com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M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EF009" w14:textId="1A270272" w:rsidR="00605280" w:rsidRPr="00BF38B2" w:rsidRDefault="00192D0D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  <w:sz w:val="16"/>
        <w:szCs w:val="16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5224CD">
      <w:rPr>
        <w:rFonts w:asciiTheme="majorHAnsi" w:eastAsiaTheme="majorEastAsia" w:hAnsiTheme="majorHAnsi" w:cstheme="majorBidi"/>
        <w:noProof/>
      </w:rPr>
      <w:t>elj-aem DT Digiware rev1 ENG.docx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/>
      </w:rPr>
      <w:t xml:space="preserve">Strona </w:t>
    </w:r>
    <w:r w:rsidR="00605280">
      <w:rPr>
        <w:rFonts w:asciiTheme="minorHAnsi" w:eastAsiaTheme="minorEastAsia" w:hAnsiTheme="minorHAnsi" w:cstheme="minorBidi"/>
      </w:rPr>
      <w:fldChar w:fldCharType="begin"/>
    </w:r>
    <w:r w:rsidR="00605280">
      <w:instrText xml:space="preserve"> PAGE   \* MERGEFORMAT </w:instrText>
    </w:r>
    <w:r w:rsidR="00605280">
      <w:rPr>
        <w:rFonts w:asciiTheme="minorHAnsi" w:eastAsiaTheme="minorEastAsia" w:hAnsiTheme="minorHAnsi" w:cstheme="minorBidi"/>
      </w:rPr>
      <w:fldChar w:fldCharType="separate"/>
    </w:r>
    <w:r w:rsidR="00C00CD3" w:rsidRPr="00C00CD3">
      <w:rPr>
        <w:rFonts w:asciiTheme="majorHAnsi" w:eastAsiaTheme="majorEastAsia" w:hAnsiTheme="majorHAnsi" w:cstheme="majorBidi"/>
        <w:noProof/>
      </w:rPr>
      <w:t>-</w:t>
    </w:r>
    <w:r w:rsidR="00C00CD3">
      <w:rPr>
        <w:noProof/>
      </w:rPr>
      <w:t xml:space="preserve"> 3 -</w:t>
    </w:r>
    <w:r w:rsidR="00605280">
      <w:rPr>
        <w:rFonts w:asciiTheme="majorHAnsi" w:eastAsiaTheme="majorEastAsia" w:hAnsiTheme="majorHAnsi" w:cstheme="majorBidi"/>
        <w:noProof/>
      </w:rPr>
      <w:fldChar w:fldCharType="end"/>
    </w:r>
    <w:r w:rsidR="00BF38B2">
      <w:rPr>
        <w:rFonts w:asciiTheme="majorHAnsi" w:eastAsiaTheme="majorEastAsia" w:hAnsiTheme="majorHAnsi" w:cstheme="majorBidi"/>
        <w:noProof/>
      </w:rPr>
      <w:t xml:space="preserve"> </w:t>
    </w:r>
    <w:r w:rsidR="00C00CD3">
      <w:rPr>
        <w:rFonts w:asciiTheme="majorHAnsi" w:eastAsiaTheme="majorEastAsia" w:hAnsiTheme="majorHAnsi" w:cstheme="majorBidi"/>
        <w:noProof/>
        <w:sz w:val="16"/>
        <w:szCs w:val="16"/>
      </w:rPr>
      <w:t>DNM 15 78368 - Prescription DIRIS Digiware</w:t>
    </w:r>
  </w:p>
  <w:p w14:paraId="584EF00A" w14:textId="77777777" w:rsidR="00605280" w:rsidRDefault="006052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EF002" w14:textId="77777777" w:rsidR="00674F6B" w:rsidRDefault="00674F6B" w:rsidP="00605280">
      <w:r>
        <w:separator/>
      </w:r>
    </w:p>
  </w:footnote>
  <w:footnote w:type="continuationSeparator" w:id="0">
    <w:p w14:paraId="584EF003" w14:textId="77777777" w:rsidR="00674F6B" w:rsidRDefault="00674F6B" w:rsidP="0060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564B2"/>
    <w:multiLevelType w:val="hybridMultilevel"/>
    <w:tmpl w:val="A328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20"/>
  </w:num>
  <w:num w:numId="5">
    <w:abstractNumId w:val="0"/>
  </w:num>
  <w:num w:numId="6">
    <w:abstractNumId w:val="1"/>
  </w:num>
  <w:num w:numId="7">
    <w:abstractNumId w:val="2"/>
  </w:num>
  <w:num w:numId="8">
    <w:abstractNumId w:val="17"/>
  </w:num>
  <w:num w:numId="9">
    <w:abstractNumId w:val="2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5"/>
  </w:num>
  <w:num w:numId="12">
    <w:abstractNumId w:val="11"/>
  </w:num>
  <w:num w:numId="13">
    <w:abstractNumId w:val="4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3"/>
  </w:num>
  <w:num w:numId="17">
    <w:abstractNumId w:val="22"/>
  </w:num>
  <w:num w:numId="18">
    <w:abstractNumId w:val="10"/>
  </w:num>
  <w:num w:numId="19">
    <w:abstractNumId w:val="7"/>
  </w:num>
  <w:num w:numId="20">
    <w:abstractNumId w:val="23"/>
  </w:num>
  <w:num w:numId="21">
    <w:abstractNumId w:val="15"/>
  </w:num>
  <w:num w:numId="22">
    <w:abstractNumId w:val="8"/>
  </w:num>
  <w:num w:numId="23">
    <w:abstractNumId w:val="26"/>
  </w:num>
  <w:num w:numId="24">
    <w:abstractNumId w:val="19"/>
  </w:num>
  <w:num w:numId="25">
    <w:abstractNumId w:val="6"/>
  </w:num>
  <w:num w:numId="26">
    <w:abstractNumId w:val="2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14C1F"/>
    <w:rsid w:val="00024DB6"/>
    <w:rsid w:val="00027BB8"/>
    <w:rsid w:val="000402F3"/>
    <w:rsid w:val="000609EF"/>
    <w:rsid w:val="00076FF0"/>
    <w:rsid w:val="000846E6"/>
    <w:rsid w:val="000853A1"/>
    <w:rsid w:val="00096593"/>
    <w:rsid w:val="000A38D7"/>
    <w:rsid w:val="000A6A37"/>
    <w:rsid w:val="000B2A52"/>
    <w:rsid w:val="000B5A7C"/>
    <w:rsid w:val="000C502C"/>
    <w:rsid w:val="000C7562"/>
    <w:rsid w:val="000D602B"/>
    <w:rsid w:val="000E00AE"/>
    <w:rsid w:val="0010356B"/>
    <w:rsid w:val="001348DD"/>
    <w:rsid w:val="001410B1"/>
    <w:rsid w:val="0018359A"/>
    <w:rsid w:val="0018507A"/>
    <w:rsid w:val="00192D0D"/>
    <w:rsid w:val="001A0BD6"/>
    <w:rsid w:val="001A3B19"/>
    <w:rsid w:val="001B0D05"/>
    <w:rsid w:val="001C29F8"/>
    <w:rsid w:val="001C305D"/>
    <w:rsid w:val="001C5E1F"/>
    <w:rsid w:val="001C7A65"/>
    <w:rsid w:val="001F42F9"/>
    <w:rsid w:val="001F659A"/>
    <w:rsid w:val="00214A0A"/>
    <w:rsid w:val="00243BD2"/>
    <w:rsid w:val="00265048"/>
    <w:rsid w:val="00287C0D"/>
    <w:rsid w:val="00295634"/>
    <w:rsid w:val="002A5C54"/>
    <w:rsid w:val="002A6473"/>
    <w:rsid w:val="002B5878"/>
    <w:rsid w:val="002C176E"/>
    <w:rsid w:val="002C4486"/>
    <w:rsid w:val="002C4641"/>
    <w:rsid w:val="002E10C4"/>
    <w:rsid w:val="00302BC6"/>
    <w:rsid w:val="0030464F"/>
    <w:rsid w:val="00353184"/>
    <w:rsid w:val="003579E7"/>
    <w:rsid w:val="00373BA3"/>
    <w:rsid w:val="003846D0"/>
    <w:rsid w:val="003977A4"/>
    <w:rsid w:val="003A0E3D"/>
    <w:rsid w:val="003C4450"/>
    <w:rsid w:val="003C6034"/>
    <w:rsid w:val="003D56B4"/>
    <w:rsid w:val="003E6B21"/>
    <w:rsid w:val="003F1A8F"/>
    <w:rsid w:val="0042345B"/>
    <w:rsid w:val="004571BC"/>
    <w:rsid w:val="00462742"/>
    <w:rsid w:val="00466BB0"/>
    <w:rsid w:val="00475A11"/>
    <w:rsid w:val="00491A79"/>
    <w:rsid w:val="004A10EB"/>
    <w:rsid w:val="004A5985"/>
    <w:rsid w:val="004C6FEF"/>
    <w:rsid w:val="004D6B19"/>
    <w:rsid w:val="004E6ABA"/>
    <w:rsid w:val="004F38B3"/>
    <w:rsid w:val="00507236"/>
    <w:rsid w:val="00511969"/>
    <w:rsid w:val="00512356"/>
    <w:rsid w:val="0052060B"/>
    <w:rsid w:val="005224CD"/>
    <w:rsid w:val="00523DF5"/>
    <w:rsid w:val="005245ED"/>
    <w:rsid w:val="0052793F"/>
    <w:rsid w:val="00534691"/>
    <w:rsid w:val="00537F1A"/>
    <w:rsid w:val="00554846"/>
    <w:rsid w:val="00554DC9"/>
    <w:rsid w:val="00571E3B"/>
    <w:rsid w:val="00585192"/>
    <w:rsid w:val="00585C3D"/>
    <w:rsid w:val="005942C0"/>
    <w:rsid w:val="00594A00"/>
    <w:rsid w:val="00594B0C"/>
    <w:rsid w:val="00595B04"/>
    <w:rsid w:val="005A2DC1"/>
    <w:rsid w:val="005A5055"/>
    <w:rsid w:val="005B570C"/>
    <w:rsid w:val="005C2D58"/>
    <w:rsid w:val="005D0122"/>
    <w:rsid w:val="005F2CEF"/>
    <w:rsid w:val="00604794"/>
    <w:rsid w:val="00605280"/>
    <w:rsid w:val="00610183"/>
    <w:rsid w:val="006127BF"/>
    <w:rsid w:val="00632234"/>
    <w:rsid w:val="00653B3C"/>
    <w:rsid w:val="00671880"/>
    <w:rsid w:val="00674F6B"/>
    <w:rsid w:val="00675025"/>
    <w:rsid w:val="006764E2"/>
    <w:rsid w:val="00680B63"/>
    <w:rsid w:val="006928E7"/>
    <w:rsid w:val="0069692F"/>
    <w:rsid w:val="006A3B10"/>
    <w:rsid w:val="006A4CAF"/>
    <w:rsid w:val="006A7AC0"/>
    <w:rsid w:val="006A7D47"/>
    <w:rsid w:val="006C2858"/>
    <w:rsid w:val="006C325B"/>
    <w:rsid w:val="006C4843"/>
    <w:rsid w:val="006D2924"/>
    <w:rsid w:val="006D2FA9"/>
    <w:rsid w:val="006F5DCC"/>
    <w:rsid w:val="007569DF"/>
    <w:rsid w:val="00757E14"/>
    <w:rsid w:val="00761852"/>
    <w:rsid w:val="00771869"/>
    <w:rsid w:val="00782509"/>
    <w:rsid w:val="0078488B"/>
    <w:rsid w:val="00786130"/>
    <w:rsid w:val="00792C75"/>
    <w:rsid w:val="007A0C1A"/>
    <w:rsid w:val="007A3F6E"/>
    <w:rsid w:val="007C37C1"/>
    <w:rsid w:val="007D18ED"/>
    <w:rsid w:val="007E16B2"/>
    <w:rsid w:val="007E7CC3"/>
    <w:rsid w:val="007F2A49"/>
    <w:rsid w:val="007F5BF5"/>
    <w:rsid w:val="00804D9D"/>
    <w:rsid w:val="00807856"/>
    <w:rsid w:val="00813B87"/>
    <w:rsid w:val="00824D36"/>
    <w:rsid w:val="00832BB1"/>
    <w:rsid w:val="008359AE"/>
    <w:rsid w:val="00836922"/>
    <w:rsid w:val="008405F6"/>
    <w:rsid w:val="0085462C"/>
    <w:rsid w:val="00861DD2"/>
    <w:rsid w:val="00865E9C"/>
    <w:rsid w:val="00875017"/>
    <w:rsid w:val="00885154"/>
    <w:rsid w:val="00885978"/>
    <w:rsid w:val="0089266A"/>
    <w:rsid w:val="008B49D2"/>
    <w:rsid w:val="008D7189"/>
    <w:rsid w:val="008D7876"/>
    <w:rsid w:val="009116A7"/>
    <w:rsid w:val="00912FCF"/>
    <w:rsid w:val="009267C9"/>
    <w:rsid w:val="00926AF2"/>
    <w:rsid w:val="00935853"/>
    <w:rsid w:val="00957453"/>
    <w:rsid w:val="00962D1F"/>
    <w:rsid w:val="00962D81"/>
    <w:rsid w:val="00962F23"/>
    <w:rsid w:val="00965BE0"/>
    <w:rsid w:val="00975C2E"/>
    <w:rsid w:val="009A0F84"/>
    <w:rsid w:val="009A3E9E"/>
    <w:rsid w:val="009B3D69"/>
    <w:rsid w:val="009B681B"/>
    <w:rsid w:val="009B6E50"/>
    <w:rsid w:val="009C2759"/>
    <w:rsid w:val="009D5C01"/>
    <w:rsid w:val="009F5BE5"/>
    <w:rsid w:val="00A278DE"/>
    <w:rsid w:val="00A31629"/>
    <w:rsid w:val="00A42AF0"/>
    <w:rsid w:val="00A54BC0"/>
    <w:rsid w:val="00A77925"/>
    <w:rsid w:val="00A950E0"/>
    <w:rsid w:val="00A96AE5"/>
    <w:rsid w:val="00AC49AB"/>
    <w:rsid w:val="00AC6112"/>
    <w:rsid w:val="00AC7270"/>
    <w:rsid w:val="00AD26B1"/>
    <w:rsid w:val="00AD3A4C"/>
    <w:rsid w:val="00AF26D5"/>
    <w:rsid w:val="00B03A85"/>
    <w:rsid w:val="00B132EF"/>
    <w:rsid w:val="00B15FFF"/>
    <w:rsid w:val="00B25023"/>
    <w:rsid w:val="00B36561"/>
    <w:rsid w:val="00B3673E"/>
    <w:rsid w:val="00B5453A"/>
    <w:rsid w:val="00B70A55"/>
    <w:rsid w:val="00B91EE1"/>
    <w:rsid w:val="00B93E30"/>
    <w:rsid w:val="00B97A10"/>
    <w:rsid w:val="00BA09DC"/>
    <w:rsid w:val="00BC6E1E"/>
    <w:rsid w:val="00BF38B2"/>
    <w:rsid w:val="00BF5B59"/>
    <w:rsid w:val="00BF6AE4"/>
    <w:rsid w:val="00C00CD3"/>
    <w:rsid w:val="00C131B1"/>
    <w:rsid w:val="00C16D32"/>
    <w:rsid w:val="00C16E7F"/>
    <w:rsid w:val="00C34EF9"/>
    <w:rsid w:val="00C41356"/>
    <w:rsid w:val="00C637A6"/>
    <w:rsid w:val="00C63835"/>
    <w:rsid w:val="00C762DF"/>
    <w:rsid w:val="00C82D75"/>
    <w:rsid w:val="00C83E81"/>
    <w:rsid w:val="00C973B8"/>
    <w:rsid w:val="00CA07E9"/>
    <w:rsid w:val="00CA0BAF"/>
    <w:rsid w:val="00CB18E5"/>
    <w:rsid w:val="00CB4563"/>
    <w:rsid w:val="00D06154"/>
    <w:rsid w:val="00D1232A"/>
    <w:rsid w:val="00D14153"/>
    <w:rsid w:val="00D33E1C"/>
    <w:rsid w:val="00D45A37"/>
    <w:rsid w:val="00D65733"/>
    <w:rsid w:val="00DB48B0"/>
    <w:rsid w:val="00DC0E8F"/>
    <w:rsid w:val="00DD2DF1"/>
    <w:rsid w:val="00DD321B"/>
    <w:rsid w:val="00DD38F9"/>
    <w:rsid w:val="00DE4E87"/>
    <w:rsid w:val="00E43B1F"/>
    <w:rsid w:val="00E60062"/>
    <w:rsid w:val="00E762F9"/>
    <w:rsid w:val="00E800BC"/>
    <w:rsid w:val="00E82B30"/>
    <w:rsid w:val="00EA1B1E"/>
    <w:rsid w:val="00EA2201"/>
    <w:rsid w:val="00EA4033"/>
    <w:rsid w:val="00EC63A8"/>
    <w:rsid w:val="00EC75E0"/>
    <w:rsid w:val="00ED1369"/>
    <w:rsid w:val="00EE556E"/>
    <w:rsid w:val="00EE5736"/>
    <w:rsid w:val="00F032D3"/>
    <w:rsid w:val="00F3143F"/>
    <w:rsid w:val="00F42CF9"/>
    <w:rsid w:val="00F4309E"/>
    <w:rsid w:val="00F53766"/>
    <w:rsid w:val="00F63CA9"/>
    <w:rsid w:val="00F670FC"/>
    <w:rsid w:val="00F82189"/>
    <w:rsid w:val="00F83007"/>
    <w:rsid w:val="00F94B0A"/>
    <w:rsid w:val="00F96053"/>
    <w:rsid w:val="00FA4FF5"/>
    <w:rsid w:val="00FC3039"/>
    <w:rsid w:val="00FE5D69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E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pl-PL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pl-PL" w:eastAsia="pl-PL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pl-PL" w:eastAsia="pl-P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pl-PL" w:eastAsia="pl-PL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pl-PL" w:eastAsia="pl-P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pl-PL" w:eastAsia="pl-PL"/>
    </w:rPr>
  </w:style>
  <w:style w:type="paragraph" w:styleId="Rvision">
    <w:name w:val="Revision"/>
    <w:hidden/>
    <w:uiPriority w:val="99"/>
    <w:semiHidden/>
    <w:rsid w:val="00192D0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pl-PL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pl-PL" w:eastAsia="pl-PL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pl-PL" w:eastAsia="pl-P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pl-PL" w:eastAsia="pl-PL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pl-PL" w:eastAsia="pl-P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pl-PL" w:eastAsia="pl-PL"/>
    </w:rPr>
  </w:style>
  <w:style w:type="paragraph" w:styleId="Rvision">
    <w:name w:val="Revision"/>
    <w:hidden/>
    <w:uiPriority w:val="99"/>
    <w:semiHidden/>
    <w:rsid w:val="00192D0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HERR Pierre-Henri</cp:lastModifiedBy>
  <cp:revision>13</cp:revision>
  <cp:lastPrinted>2013-09-17T14:48:00Z</cp:lastPrinted>
  <dcterms:created xsi:type="dcterms:W3CDTF">2014-05-26T12:58:00Z</dcterms:created>
  <dcterms:modified xsi:type="dcterms:W3CDTF">2015-04-28T15:19:00Z</dcterms:modified>
</cp:coreProperties>
</file>