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D2AD3" w14:textId="77777777" w:rsidR="000A38D7" w:rsidRPr="00BC6E1E" w:rsidRDefault="000A38D7" w:rsidP="000A38D7">
      <w:pPr>
        <w:pStyle w:val="TitleSub"/>
        <w:rPr>
          <w:b w:val="0"/>
          <w:sz w:val="28"/>
        </w:rPr>
      </w:pPr>
      <w:bookmarkStart w:id="0" w:name="_GoBack"/>
      <w:bookmarkEnd w:id="0"/>
      <w:r>
        <w:rPr>
          <w:b w:val="0"/>
          <w:sz w:val="28"/>
        </w:rPr>
        <w:t>技术规范</w:t>
      </w:r>
    </w:p>
    <w:p w14:paraId="24FD2AD4" w14:textId="77777777" w:rsidR="000A38D7" w:rsidRPr="00BC6E1E" w:rsidRDefault="00D45A37" w:rsidP="000A38D7">
      <w:pPr>
        <w:spacing w:before="600"/>
        <w:jc w:val="center"/>
        <w:rPr>
          <w:b/>
          <w:sz w:val="22"/>
        </w:rPr>
      </w:pPr>
      <w:r>
        <w:rPr>
          <w:b/>
          <w:sz w:val="32"/>
        </w:rPr>
        <w:t>DIRIS Digiware</w:t>
      </w:r>
    </w:p>
    <w:p w14:paraId="24FD2AD5" w14:textId="77777777" w:rsidR="000A38D7" w:rsidRPr="00BC6E1E" w:rsidRDefault="000A38D7" w:rsidP="000A38D7">
      <w:pPr>
        <w:pStyle w:val="TitleSub"/>
        <w:rPr>
          <w:rFonts w:ascii="Arial Narrow" w:hAnsi="Arial Narrow"/>
        </w:rPr>
      </w:pPr>
    </w:p>
    <w:p w14:paraId="24FD2AD6" w14:textId="77777777" w:rsidR="000A38D7" w:rsidRPr="00C63835" w:rsidRDefault="00D45A37" w:rsidP="000A38D7">
      <w:pPr>
        <w:pStyle w:val="TitleSub"/>
        <w:rPr>
          <w:b w:val="0"/>
          <w:bCs w:val="0"/>
          <w:kern w:val="0"/>
          <w:sz w:val="20"/>
          <w:szCs w:val="20"/>
        </w:rPr>
      </w:pPr>
      <w:r>
        <w:rPr>
          <w:sz w:val="28"/>
        </w:rPr>
        <w:t>用于电气设备的</w:t>
      </w:r>
      <w:r>
        <w:rPr>
          <w:rFonts w:ascii="Arial Narrow" w:hAnsi="Arial Narrow"/>
          <w:sz w:val="28"/>
        </w:rPr>
        <w:br/>
      </w:r>
      <w:r>
        <w:rPr>
          <w:sz w:val="28"/>
        </w:rPr>
        <w:t xml:space="preserve">多电路即插即用测量和监控系统 </w:t>
      </w:r>
    </w:p>
    <w:p w14:paraId="24FD2AD7" w14:textId="77777777"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24FD2AD8" w14:textId="77777777" w:rsidR="000A38D7" w:rsidRPr="002C176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24FD2AD9" w14:textId="77777777" w:rsidR="00680B63" w:rsidRPr="002C176E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24FD2ADA" w14:textId="77777777" w:rsidR="00594B0C" w:rsidRPr="00BC6E1E" w:rsidRDefault="00A54BC0" w:rsidP="00A54BC0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</w:rPr>
        <w:t>本规范的目的</w:t>
      </w:r>
    </w:p>
    <w:p w14:paraId="24FD2ADB" w14:textId="77777777"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24FD2ADC" w14:textId="77777777" w:rsidR="00A54BC0" w:rsidRPr="00BC6E1E" w:rsidRDefault="00A54BC0" w:rsidP="00A54BC0">
      <w:pPr>
        <w:jc w:val="both"/>
      </w:pPr>
      <w:r>
        <w:t>本规范说明带关联电流传感器的多功能、多电路测量系统，设计用于测量、监控和管理电气设备内的电能。</w:t>
      </w:r>
    </w:p>
    <w:p w14:paraId="24FD2ADD" w14:textId="77777777"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</w:p>
    <w:p w14:paraId="24FD2ADE" w14:textId="77777777" w:rsidR="00A54BC0" w:rsidRPr="00BC6E1E" w:rsidRDefault="00A54BC0" w:rsidP="00A54BC0">
      <w:pPr>
        <w:jc w:val="both"/>
      </w:pPr>
      <w:r>
        <w:t>技术指标是索克曼DIRIS Digiware或同等和批准。</w:t>
      </w:r>
    </w:p>
    <w:p w14:paraId="24FD2ADF" w14:textId="77777777" w:rsidR="00A54BC0" w:rsidRPr="00BC6E1E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</w:rPr>
      </w:pPr>
    </w:p>
    <w:p w14:paraId="24FD2AE0" w14:textId="77777777" w:rsidR="00594B0C" w:rsidRPr="00BC6E1E" w:rsidRDefault="00A54BC0" w:rsidP="00A54BC0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>一般特性</w:t>
      </w:r>
    </w:p>
    <w:p w14:paraId="24FD2AE1" w14:textId="77777777"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14:paraId="24FD2AE2" w14:textId="77777777" w:rsidR="002A6473" w:rsidRPr="00792C75" w:rsidRDefault="00A54BC0" w:rsidP="00A54BC0">
      <w:pPr>
        <w:autoSpaceDE w:val="0"/>
        <w:autoSpaceDN w:val="0"/>
        <w:adjustRightInd w:val="0"/>
        <w:jc w:val="both"/>
      </w:pPr>
      <w:r>
        <w:t>多功能测量系统应为采用模块化格式的紧凑型PMD*，并符合IEC标准61557-12。</w:t>
      </w:r>
    </w:p>
    <w:p w14:paraId="24FD2AE3" w14:textId="77777777" w:rsidR="00BA09DC" w:rsidRPr="00792C7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AE4" w14:textId="77777777" w:rsidR="002A6473" w:rsidRPr="00792C75" w:rsidRDefault="00A54BC0" w:rsidP="00A54BC0">
      <w:pPr>
        <w:autoSpaceDE w:val="0"/>
        <w:autoSpaceDN w:val="0"/>
        <w:adjustRightInd w:val="0"/>
        <w:jc w:val="both"/>
      </w:pPr>
      <w:r>
        <w:t>它应该可以提供所有的电压、电流、输出、能量和质量测量功能，以及允许联合分析单相和三相负荷。</w:t>
      </w:r>
    </w:p>
    <w:p w14:paraId="24FD2AE5" w14:textId="77777777"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AE6" w14:textId="77777777" w:rsidR="00AF26D5" w:rsidRPr="00792C75" w:rsidRDefault="00AF26D5" w:rsidP="00A54BC0">
      <w:pPr>
        <w:autoSpaceDE w:val="0"/>
        <w:autoSpaceDN w:val="0"/>
        <w:adjustRightInd w:val="0"/>
        <w:jc w:val="both"/>
      </w:pPr>
      <w:r>
        <w:t>该即插即用系统基于无需工具即可互连的模块，并可自动检测网络、负荷及电流传感器的类型、验证电流的流动方向、自动配置网络类型，以及自动寻址连接到Digiware Bus的设备。</w:t>
      </w:r>
    </w:p>
    <w:p w14:paraId="24FD2AE7" w14:textId="77777777" w:rsidR="00E43B1F" w:rsidRPr="00792C75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AE8" w14:textId="77777777" w:rsidR="00AF26D5" w:rsidRPr="00792C75" w:rsidRDefault="00AF26D5" w:rsidP="00A54BC0">
      <w:pPr>
        <w:autoSpaceDE w:val="0"/>
        <w:autoSpaceDN w:val="0"/>
        <w:adjustRightInd w:val="0"/>
        <w:jc w:val="both"/>
      </w:pPr>
      <w:r>
        <w:t>它包含：</w:t>
      </w:r>
    </w:p>
    <w:p w14:paraId="24FD2AE9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</w:rPr>
        <w:t>控制和供电接口(24 VDC)。</w:t>
      </w:r>
    </w:p>
    <w:p w14:paraId="24FD2AEA" w14:textId="77777777" w:rsidR="00AF26D5" w:rsidRPr="00792C75" w:rsidRDefault="00AF26D5" w:rsidP="00AF26D5">
      <w:pPr>
        <w:pStyle w:val="Paragraphedeliste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</w:rPr>
        <w:t>可使用远程显示器查看多达180个负荷。</w:t>
      </w:r>
    </w:p>
    <w:p w14:paraId="24FD2AEB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</w:rPr>
        <w:t>标准电压和电流测量模块。</w:t>
      </w:r>
    </w:p>
    <w:p w14:paraId="24FD2AEC" w14:textId="77777777" w:rsidR="00AF26D5" w:rsidRPr="00792C75" w:rsidRDefault="00AF26D5" w:rsidP="00AF26D5">
      <w:pPr>
        <w:pStyle w:val="Paragraphedeliste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</w:rPr>
        <w:t>模块将通过带有RJ45链接的总线互连。该总线会将电源分配给各个模块和通信，以及同步所有负荷的单一电压测量和电流测量。此技术允许将电压测量在单点进行整合。每个电流测量模块将具有多达6个输入，允许同时测量多达6个负荷。这些电流输入为RJ12型输入，可连接到关联的电流传感器。</w:t>
      </w:r>
    </w:p>
    <w:p w14:paraId="24FD2AED" w14:textId="77777777" w:rsidR="00AF26D5" w:rsidRPr="00792C75" w:rsidRDefault="00AF26D5" w:rsidP="00AF26D5">
      <w:pPr>
        <w:autoSpaceDE w:val="0"/>
        <w:autoSpaceDN w:val="0"/>
        <w:adjustRightInd w:val="0"/>
        <w:ind w:left="708"/>
        <w:jc w:val="both"/>
      </w:pPr>
      <w:r>
        <w:rPr>
          <w:color w:val="000000"/>
        </w:rPr>
        <w:t>测量模块带有1 (18mm)、1.5 (26mm)或2 (36mm)模块，可安装在DIN导轨或背板上。</w:t>
      </w:r>
    </w:p>
    <w:p w14:paraId="24FD2AEE" w14:textId="77777777" w:rsidR="00AF26D5" w:rsidRPr="00792C75" w:rsidRDefault="00AF26D5" w:rsidP="00AF26D5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</w:rPr>
        <w:t>电流传感器</w:t>
      </w:r>
    </w:p>
    <w:p w14:paraId="24FD2AEF" w14:textId="77777777" w:rsidR="00605280" w:rsidRPr="00792C75" w:rsidRDefault="00605280" w:rsidP="002C176E">
      <w:pPr>
        <w:autoSpaceDE w:val="0"/>
        <w:autoSpaceDN w:val="0"/>
        <w:adjustRightInd w:val="0"/>
        <w:ind w:left="708"/>
        <w:jc w:val="both"/>
      </w:pPr>
      <w:r>
        <w:t>系统（测量模块和传感器）根据IEC标准61557-12：带有TE电流传感器的2至120%标称电流(In)的0.5级，确保了测量的精度。</w:t>
      </w:r>
    </w:p>
    <w:p w14:paraId="24FD2AF0" w14:textId="77777777" w:rsidR="00554DC9" w:rsidRPr="00A54BC0" w:rsidRDefault="00FF6F16" w:rsidP="002C176E">
      <w:pPr>
        <w:autoSpaceDE w:val="0"/>
        <w:autoSpaceDN w:val="0"/>
        <w:adjustRightInd w:val="0"/>
        <w:ind w:left="708"/>
        <w:jc w:val="both"/>
        <w:rPr>
          <w:i/>
          <w:sz w:val="18"/>
          <w:szCs w:val="18"/>
        </w:rPr>
      </w:pPr>
      <w:r>
        <w:rPr>
          <w:rFonts w:ascii="Arial Narrow" w:eastAsia="Calibri" w:hAnsi="Arial Narrow" w:cs="HelveticaNeueLTCom-LtIt"/>
          <w:sz w:val="18"/>
        </w:rPr>
        <w:br/>
      </w:r>
      <w:r>
        <w:rPr>
          <w:i/>
          <w:sz w:val="18"/>
        </w:rPr>
        <w:t>*PMD：根据IEC标准61557-12的性能测量和监控设备。</w:t>
      </w:r>
    </w:p>
    <w:p w14:paraId="24FD2AF1" w14:textId="77777777" w:rsidR="002A6473" w:rsidRPr="00BC6E1E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AF2" w14:textId="77777777" w:rsidR="006A7AC0" w:rsidRPr="00A54BC0" w:rsidRDefault="006A7AC0" w:rsidP="00A54BC0">
      <w:pPr>
        <w:jc w:val="both"/>
        <w:rPr>
          <w:rFonts w:ascii="Arial Narrow" w:hAnsi="Arial Narrow"/>
          <w:b/>
        </w:rPr>
      </w:pPr>
    </w:p>
    <w:p w14:paraId="24FD2AF3" w14:textId="77777777" w:rsidR="00605280" w:rsidRPr="00BC6E1E" w:rsidRDefault="00605280" w:rsidP="002C176E">
      <w:pPr>
        <w:autoSpaceDE w:val="0"/>
        <w:autoSpaceDN w:val="0"/>
        <w:adjustRightInd w:val="0"/>
        <w:ind w:left="708"/>
        <w:jc w:val="both"/>
      </w:pPr>
      <w:r>
        <w:t>电流传感器构成测量系统的一个组成部分，因此必须来自测量模块的同一制造商。</w:t>
      </w:r>
    </w:p>
    <w:p w14:paraId="24FD2AF4" w14:textId="77777777" w:rsidR="00605280" w:rsidRPr="00A54BC0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AF5" w14:textId="77777777" w:rsidR="00554846" w:rsidRPr="00A54BC0" w:rsidRDefault="00605280" w:rsidP="002C176E">
      <w:pPr>
        <w:autoSpaceDE w:val="0"/>
        <w:autoSpaceDN w:val="0"/>
        <w:adjustRightInd w:val="0"/>
        <w:ind w:left="708"/>
        <w:jc w:val="both"/>
      </w:pPr>
      <w:r>
        <w:t xml:space="preserve">这些设备允许无风险地连接和断开电流传感器。 </w:t>
      </w:r>
    </w:p>
    <w:p w14:paraId="24FD2AF6" w14:textId="77777777" w:rsidR="00554846" w:rsidRPr="00A54BC0" w:rsidRDefault="00554846" w:rsidP="002C176E">
      <w:pPr>
        <w:autoSpaceDE w:val="0"/>
        <w:autoSpaceDN w:val="0"/>
        <w:adjustRightInd w:val="0"/>
        <w:ind w:left="708"/>
        <w:jc w:val="both"/>
      </w:pPr>
      <w:r>
        <w:t>为防止安装过程中出现错误的任何风险，它们将可被测量设备自动识别（类型、等级、电流方向）</w:t>
      </w:r>
    </w:p>
    <w:p w14:paraId="24FD2AF7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AF8" w14:textId="77777777" w:rsidR="00554846" w:rsidRPr="00A54BC0" w:rsidRDefault="00554846" w:rsidP="00A54BC0">
      <w:pPr>
        <w:autoSpaceDE w:val="0"/>
        <w:autoSpaceDN w:val="0"/>
        <w:adjustRightInd w:val="0"/>
        <w:jc w:val="both"/>
      </w:pPr>
      <w:r>
        <w:t>如果在设置过程中检测到安装错误，将会自动生成警报。</w:t>
      </w:r>
    </w:p>
    <w:p w14:paraId="24FD2AF9" w14:textId="77777777" w:rsidR="00554846" w:rsidRPr="00A54BC0" w:rsidRDefault="00554846" w:rsidP="00A54BC0">
      <w:pPr>
        <w:jc w:val="both"/>
        <w:rPr>
          <w:rFonts w:ascii="Arial Narrow" w:eastAsia="Calibri" w:hAnsi="Arial Narrow" w:cs="HelveticaNeueLTCom-Lt"/>
        </w:rPr>
      </w:pPr>
    </w:p>
    <w:p w14:paraId="24FD2AFA" w14:textId="77777777" w:rsidR="00554846" w:rsidRPr="00A54BC0" w:rsidRDefault="000D602B" w:rsidP="000D602B">
      <w:pPr>
        <w:autoSpaceDE w:val="0"/>
        <w:autoSpaceDN w:val="0"/>
        <w:adjustRightInd w:val="0"/>
        <w:jc w:val="both"/>
      </w:pPr>
      <w:r>
        <w:t xml:space="preserve">测量设备可使用5A至1000A的TE实心传感器、25A至600A的TR分裂铁芯传感器，和150A至6000A的TF柔性传感器，适应任何新的或现有的设备。 </w:t>
      </w:r>
    </w:p>
    <w:p w14:paraId="24FD2AFB" w14:textId="77777777"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AFC" w14:textId="77777777" w:rsidR="00554846" w:rsidRPr="00A54BC0" w:rsidRDefault="00554846" w:rsidP="00DC0E8F">
      <w:pPr>
        <w:autoSpaceDE w:val="0"/>
        <w:autoSpaceDN w:val="0"/>
        <w:adjustRightInd w:val="0"/>
      </w:pPr>
      <w:r>
        <w:t>为了方便集成，可将实芯电流传感器直接连接到所有类型的导体（电缆、柔性或刚性母线）或DIN导轨或背板支架上。</w:t>
      </w:r>
      <w:r>
        <w:rPr>
          <w:rFonts w:ascii="Arial Narrow" w:eastAsia="Calibri" w:hAnsi="Arial Narrow" w:cs="HelveticaNeueLTCom-Lt"/>
        </w:rPr>
        <w:br/>
      </w:r>
    </w:p>
    <w:p w14:paraId="24FD2AFD" w14:textId="77777777" w:rsidR="00554846" w:rsidRPr="00BC6E1E" w:rsidRDefault="000D602B" w:rsidP="00A54BC0">
      <w:pPr>
        <w:autoSpaceDE w:val="0"/>
        <w:autoSpaceDN w:val="0"/>
        <w:adjustRightInd w:val="0"/>
        <w:jc w:val="both"/>
      </w:pPr>
      <w:r>
        <w:t>这些传感器可以排列或交错安装，以匹配相应保护设备的间距。</w:t>
      </w:r>
    </w:p>
    <w:p w14:paraId="24FD2AFE" w14:textId="77777777" w:rsidR="00B03A85" w:rsidRPr="00A54BC0" w:rsidRDefault="00B03A85" w:rsidP="00A54BC0">
      <w:pPr>
        <w:jc w:val="both"/>
        <w:rPr>
          <w:rFonts w:ascii="Arial Narrow" w:hAnsi="Arial Narrow"/>
          <w:b/>
        </w:rPr>
      </w:pPr>
    </w:p>
    <w:p w14:paraId="24FD2AFF" w14:textId="77777777" w:rsidR="00B03A85" w:rsidRPr="00A54BC0" w:rsidRDefault="00B03A85" w:rsidP="00A54BC0">
      <w:pPr>
        <w:jc w:val="both"/>
        <w:rPr>
          <w:rFonts w:ascii="Arial Narrow" w:hAnsi="Arial Narrow"/>
          <w:b/>
        </w:rPr>
      </w:pPr>
    </w:p>
    <w:p w14:paraId="24FD2B00" w14:textId="77777777" w:rsidR="00594B0C" w:rsidRPr="00A54BC0" w:rsidRDefault="00594B0C" w:rsidP="00A54BC0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>配置</w:t>
      </w:r>
    </w:p>
    <w:p w14:paraId="24FD2B01" w14:textId="77777777"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14:paraId="24FD2B02" w14:textId="77777777" w:rsidR="007D18ED" w:rsidRPr="00BC6E1E" w:rsidRDefault="000D602B" w:rsidP="00A54BC0">
      <w:pPr>
        <w:autoSpaceDE w:val="0"/>
        <w:autoSpaceDN w:val="0"/>
        <w:adjustRightInd w:val="0"/>
        <w:jc w:val="both"/>
      </w:pPr>
      <w:r>
        <w:t>测量系统将会自动配置：</w:t>
      </w:r>
    </w:p>
    <w:p w14:paraId="24FD2B03" w14:textId="77777777" w:rsidR="007D18ED" w:rsidRPr="00A54BC0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</w:rPr>
      </w:pPr>
    </w:p>
    <w:p w14:paraId="24FD2B04" w14:textId="77777777" w:rsidR="007D18ED" w:rsidRPr="00A54BC0" w:rsidRDefault="005D0122" w:rsidP="000D602B">
      <w:pPr>
        <w:autoSpaceDE w:val="0"/>
        <w:autoSpaceDN w:val="0"/>
        <w:adjustRightInd w:val="0"/>
        <w:rPr>
          <w:color w:val="000000"/>
        </w:rPr>
      </w:pPr>
      <w:r>
        <w:t xml:space="preserve">• </w:t>
      </w:r>
      <w:r>
        <w:rPr>
          <w:b/>
        </w:rPr>
        <w:t>负荷数</w:t>
      </w:r>
      <w:r>
        <w:rPr>
          <w:rFonts w:ascii="Arial Narrow" w:eastAsia="Calibri" w:hAnsi="Arial Narrow" w:cs="Calibri"/>
          <w:color w:val="000000"/>
        </w:rPr>
        <w:br/>
      </w:r>
      <w:r>
        <w:t>通过独立的电流输入，允许更灵活地安装在设备中的任何位置</w:t>
      </w:r>
      <w:r>
        <w:rPr>
          <w:color w:val="000000"/>
        </w:rPr>
        <w:t>，可同时测量多达6个负荷</w:t>
      </w:r>
      <w:r>
        <w:t>。</w:t>
      </w:r>
      <w:r>
        <w:rPr>
          <w:color w:val="000000"/>
        </w:rPr>
        <w:t xml:space="preserve">  </w:t>
      </w:r>
    </w:p>
    <w:p w14:paraId="24FD2B05" w14:textId="77777777" w:rsidR="007D18ED" w:rsidRPr="00A54BC0" w:rsidRDefault="007D18ED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24FD2B06" w14:textId="77777777" w:rsidR="007D18ED" w:rsidRPr="00A54BC0" w:rsidRDefault="005D0122" w:rsidP="00A54BC0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</w:rPr>
        <w:t>• 负荷</w:t>
      </w:r>
      <w:r>
        <w:rPr>
          <w:b/>
          <w:color w:val="000000"/>
        </w:rPr>
        <w:t>类型</w:t>
      </w:r>
    </w:p>
    <w:p w14:paraId="24FD2B07" w14:textId="77777777" w:rsidR="007D18ED" w:rsidRPr="00A54BC0" w:rsidRDefault="007D18ED" w:rsidP="00192D0D">
      <w:pPr>
        <w:autoSpaceDE w:val="0"/>
        <w:autoSpaceDN w:val="0"/>
        <w:adjustRightInd w:val="0"/>
      </w:pPr>
      <w:r>
        <w:rPr>
          <w:color w:val="000000"/>
        </w:rPr>
        <w:t>测量设备可</w:t>
      </w:r>
      <w:r>
        <w:t xml:space="preserve">识别带有或不带中性的单相、二相和三相类型的负荷。可使用1到6个传感器测量平衡或不平衡的负荷。 </w:t>
      </w:r>
      <w:r>
        <w:rPr>
          <w:rFonts w:ascii="Arial Narrow" w:eastAsia="Calibri" w:hAnsi="Arial Narrow" w:cs="HelveticaNeueLTCom-Lt"/>
        </w:rPr>
        <w:br/>
      </w:r>
    </w:p>
    <w:p w14:paraId="24FD2B08" w14:textId="77777777" w:rsidR="007D18ED" w:rsidRPr="00A54BC0" w:rsidRDefault="007D18ED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color w:val="000000"/>
        </w:rPr>
      </w:pPr>
    </w:p>
    <w:p w14:paraId="24FD2B09" w14:textId="77777777" w:rsidR="007D18ED" w:rsidRPr="00A54BC0" w:rsidRDefault="005D0122" w:rsidP="00A54BC0">
      <w:pPr>
        <w:autoSpaceDE w:val="0"/>
        <w:autoSpaceDN w:val="0"/>
        <w:adjustRightInd w:val="0"/>
        <w:spacing w:after="10"/>
        <w:jc w:val="both"/>
        <w:rPr>
          <w:b/>
          <w:color w:val="000000"/>
        </w:rPr>
      </w:pPr>
      <w:r>
        <w:rPr>
          <w:b/>
        </w:rPr>
        <w:t xml:space="preserve">• </w:t>
      </w:r>
      <w:r>
        <w:rPr>
          <w:b/>
          <w:color w:val="000000"/>
        </w:rPr>
        <w:t xml:space="preserve">寻址通信 </w:t>
      </w:r>
    </w:p>
    <w:p w14:paraId="24FD2B0A" w14:textId="77777777" w:rsidR="007D18ED" w:rsidRPr="00A54BC0" w:rsidRDefault="000D602B" w:rsidP="00A54BC0">
      <w:pPr>
        <w:autoSpaceDE w:val="0"/>
        <w:autoSpaceDN w:val="0"/>
        <w:adjustRightInd w:val="0"/>
        <w:jc w:val="both"/>
      </w:pPr>
      <w:r>
        <w:t>自动寻址功能可将Modbus地址自动分配给通过以太网DIRIS G网关（请参阅个别的技术规范）或中央屏幕连接的模块。</w:t>
      </w:r>
    </w:p>
    <w:p w14:paraId="24FD2B0B" w14:textId="77777777" w:rsidR="007D18ED" w:rsidRPr="00A54BC0" w:rsidRDefault="00AC7270" w:rsidP="00A54BC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测量系统还可通过USB连接或通过通信网络（RS485/以太网）</w:t>
      </w:r>
      <w:r>
        <w:t>使用远程屏幕或</w:t>
      </w:r>
      <w:r>
        <w:rPr>
          <w:color w:val="000000"/>
        </w:rPr>
        <w:t>配置软件进行配置。</w:t>
      </w:r>
    </w:p>
    <w:p w14:paraId="24FD2B0C" w14:textId="77777777" w:rsidR="007D18ED" w:rsidRPr="00A54BC0" w:rsidRDefault="007D18ED" w:rsidP="00A54BC0">
      <w:pPr>
        <w:jc w:val="both"/>
        <w:rPr>
          <w:rFonts w:ascii="Arial Narrow" w:hAnsi="Arial Narrow"/>
          <w:b/>
        </w:rPr>
      </w:pPr>
    </w:p>
    <w:p w14:paraId="24FD2B0D" w14:textId="77777777" w:rsidR="001A3B19" w:rsidRPr="00A54BC0" w:rsidRDefault="001A3B19" w:rsidP="00A54BC0">
      <w:pPr>
        <w:jc w:val="both"/>
        <w:rPr>
          <w:rFonts w:ascii="Arial Narrow" w:hAnsi="Arial Narrow"/>
          <w:b/>
        </w:rPr>
      </w:pPr>
    </w:p>
    <w:p w14:paraId="24FD2B0E" w14:textId="77777777" w:rsidR="001A3B19" w:rsidRPr="00BC6E1E" w:rsidRDefault="00782509" w:rsidP="00A54BC0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>功能和性能</w:t>
      </w:r>
    </w:p>
    <w:p w14:paraId="24FD2B0F" w14:textId="77777777"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24FD2B10" w14:textId="77777777" w:rsidR="00680B63" w:rsidRPr="00BC6E1E" w:rsidRDefault="00680B63" w:rsidP="00680B63">
      <w:pPr>
        <w:jc w:val="both"/>
      </w:pPr>
      <w:r>
        <w:t>在功能方面，测量系统必须遵守下列要求：</w:t>
      </w:r>
    </w:p>
    <w:p w14:paraId="24FD2B11" w14:textId="77777777" w:rsidR="006928E7" w:rsidRPr="00A54BC0" w:rsidRDefault="006928E7" w:rsidP="00A54BC0">
      <w:pPr>
        <w:jc w:val="both"/>
        <w:rPr>
          <w:rFonts w:ascii="Arial Narrow" w:hAnsi="Arial Narrow"/>
          <w:b/>
        </w:rPr>
      </w:pPr>
    </w:p>
    <w:p w14:paraId="24FD2B12" w14:textId="77777777" w:rsidR="00771869" w:rsidRPr="00A54BC0" w:rsidRDefault="00771869" w:rsidP="00A54BC0">
      <w:pPr>
        <w:autoSpaceDE w:val="0"/>
        <w:autoSpaceDN w:val="0"/>
        <w:adjustRightInd w:val="0"/>
        <w:jc w:val="both"/>
      </w:pPr>
      <w:r>
        <w:t xml:space="preserve">• </w:t>
      </w:r>
      <w:r>
        <w:rPr>
          <w:b/>
        </w:rPr>
        <w:t>一般测量</w:t>
      </w:r>
    </w:p>
    <w:p w14:paraId="24FD2B13" w14:textId="77777777" w:rsidR="00771869" w:rsidRPr="00A54BC0" w:rsidRDefault="00771869" w:rsidP="00A54BC0">
      <w:pPr>
        <w:autoSpaceDE w:val="0"/>
        <w:autoSpaceDN w:val="0"/>
        <w:adjustRightInd w:val="0"/>
        <w:jc w:val="both"/>
      </w:pPr>
      <w:r>
        <w:t>- 电流、频率、电压电值</w:t>
      </w:r>
    </w:p>
    <w:p w14:paraId="24FD2B14" w14:textId="77777777" w:rsidR="00771869" w:rsidRPr="00A54BC0" w:rsidRDefault="00771869" w:rsidP="00A54BC0">
      <w:pPr>
        <w:autoSpaceDE w:val="0"/>
        <w:autoSpaceDN w:val="0"/>
        <w:adjustRightInd w:val="0"/>
        <w:jc w:val="both"/>
      </w:pPr>
      <w:r>
        <w:t>- 有功、无功和表现功率、功率因数、cos phi和tan phi</w:t>
      </w:r>
    </w:p>
    <w:p w14:paraId="24FD2B15" w14:textId="77777777" w:rsidR="00771869" w:rsidRPr="00A54BC0" w:rsidRDefault="00771869" w:rsidP="00A54BC0">
      <w:pPr>
        <w:autoSpaceDE w:val="0"/>
        <w:autoSpaceDN w:val="0"/>
        <w:adjustRightInd w:val="0"/>
        <w:jc w:val="both"/>
      </w:pPr>
      <w:r>
        <w:t>- 跨越4个象限运行</w:t>
      </w:r>
    </w:p>
    <w:p w14:paraId="24FD2B16" w14:textId="77777777" w:rsidR="00771869" w:rsidRPr="00A54BC0" w:rsidRDefault="00771869" w:rsidP="00A54BC0">
      <w:pPr>
        <w:autoSpaceDE w:val="0"/>
        <w:autoSpaceDN w:val="0"/>
        <w:adjustRightInd w:val="0"/>
        <w:jc w:val="both"/>
      </w:pPr>
      <w:r>
        <w:t>- 预测功率</w:t>
      </w:r>
    </w:p>
    <w:p w14:paraId="24FD2B17" w14:textId="77777777" w:rsidR="00771869" w:rsidRPr="00A54BC0" w:rsidRDefault="00771869" w:rsidP="00A54BC0">
      <w:pPr>
        <w:autoSpaceDE w:val="0"/>
        <w:autoSpaceDN w:val="0"/>
        <w:adjustRightInd w:val="0"/>
        <w:jc w:val="both"/>
      </w:pPr>
      <w:r>
        <w:t>- 可提供下列数值的测量：</w:t>
      </w:r>
    </w:p>
    <w:p w14:paraId="24FD2B18" w14:textId="77777777" w:rsidR="00771869" w:rsidRPr="00A54BC0" w:rsidRDefault="00771869" w:rsidP="00A54BC0">
      <w:pPr>
        <w:autoSpaceDE w:val="0"/>
        <w:autoSpaceDN w:val="0"/>
        <w:adjustRightInd w:val="0"/>
        <w:jc w:val="both"/>
      </w:pPr>
      <w:r>
        <w:tab/>
        <w:t>- 瞬时值</w:t>
      </w:r>
    </w:p>
    <w:p w14:paraId="24FD2B19" w14:textId="77777777" w:rsidR="00771869" w:rsidRPr="00192D0D" w:rsidRDefault="00771869" w:rsidP="00A54BC0">
      <w:pPr>
        <w:autoSpaceDE w:val="0"/>
        <w:autoSpaceDN w:val="0"/>
        <w:adjustRightInd w:val="0"/>
        <w:jc w:val="both"/>
      </w:pPr>
      <w:r>
        <w:tab/>
        <w:t>- 最大瞬时值（带时间戳记）</w:t>
      </w:r>
    </w:p>
    <w:p w14:paraId="24FD2B1A" w14:textId="77777777" w:rsidR="00771869" w:rsidRPr="00192D0D" w:rsidRDefault="00771869" w:rsidP="00A54BC0">
      <w:pPr>
        <w:autoSpaceDE w:val="0"/>
        <w:autoSpaceDN w:val="0"/>
        <w:adjustRightInd w:val="0"/>
        <w:jc w:val="both"/>
      </w:pPr>
      <w:r>
        <w:tab/>
        <w:t>- 最小瞬时值（带时间戳记）</w:t>
      </w:r>
    </w:p>
    <w:p w14:paraId="24FD2B1B" w14:textId="77777777" w:rsidR="00771869" w:rsidRPr="00192D0D" w:rsidRDefault="00771869" w:rsidP="00A54BC0">
      <w:pPr>
        <w:autoSpaceDE w:val="0"/>
        <w:autoSpaceDN w:val="0"/>
        <w:adjustRightInd w:val="0"/>
        <w:jc w:val="both"/>
      </w:pPr>
      <w:r>
        <w:tab/>
        <w:t>- 平均值</w:t>
      </w:r>
    </w:p>
    <w:p w14:paraId="24FD2B1C" w14:textId="77777777" w:rsidR="00771869" w:rsidRPr="00192D0D" w:rsidRDefault="00771869" w:rsidP="00A54BC0">
      <w:pPr>
        <w:autoSpaceDE w:val="0"/>
        <w:autoSpaceDN w:val="0"/>
        <w:adjustRightInd w:val="0"/>
        <w:jc w:val="both"/>
      </w:pPr>
      <w:r>
        <w:tab/>
        <w:t>- 最大平均值（带时间戳记）</w:t>
      </w:r>
    </w:p>
    <w:p w14:paraId="24FD2B1D" w14:textId="77777777" w:rsidR="00771869" w:rsidRDefault="00771869" w:rsidP="00680B63">
      <w:pPr>
        <w:autoSpaceDE w:val="0"/>
        <w:autoSpaceDN w:val="0"/>
        <w:adjustRightInd w:val="0"/>
      </w:pPr>
      <w:r>
        <w:tab/>
        <w:t>- 最小平均值（带时间戳记）</w:t>
      </w:r>
      <w:r>
        <w:rPr>
          <w:rFonts w:ascii="Arial Narrow" w:eastAsia="Calibri" w:hAnsi="Arial Narrow" w:cs="HelveticaNeueLTCom-Lt"/>
        </w:rPr>
        <w:br/>
      </w:r>
    </w:p>
    <w:p w14:paraId="24FD2B1E" w14:textId="77777777" w:rsidR="00680B63" w:rsidRPr="00BC6E1E" w:rsidRDefault="00680B63" w:rsidP="00680B63">
      <w:pPr>
        <w:autoSpaceDE w:val="0"/>
        <w:autoSpaceDN w:val="0"/>
        <w:adjustRightInd w:val="0"/>
        <w:jc w:val="both"/>
      </w:pPr>
      <w:r>
        <w:t xml:space="preserve">• </w:t>
      </w:r>
      <w:r>
        <w:rPr>
          <w:b/>
        </w:rPr>
        <w:t>特定测量</w:t>
      </w:r>
    </w:p>
    <w:p w14:paraId="24FD2B1F" w14:textId="77777777" w:rsidR="00680B63" w:rsidRPr="00BC6E1E" w:rsidRDefault="00295634" w:rsidP="00680B63">
      <w:pPr>
        <w:jc w:val="both"/>
        <w:rPr>
          <w:u w:val="single"/>
        </w:rPr>
      </w:pPr>
      <w:r>
        <w:rPr>
          <w:u w:val="single"/>
        </w:rPr>
        <w:t>在关联的电压测量模块中</w:t>
      </w:r>
    </w:p>
    <w:p w14:paraId="24FD2B20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U12、U23、U31、V1、V2、V3、VN、F</w:t>
      </w:r>
    </w:p>
    <w:p w14:paraId="24FD2B21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U系统、V系统</w:t>
      </w:r>
    </w:p>
    <w:p w14:paraId="24FD2B22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Ph/N不平衡（正向、反向和同极组件与不平衡）</w:t>
      </w:r>
    </w:p>
    <w:p w14:paraId="24FD2B23" w14:textId="77777777" w:rsidR="00680B63" w:rsidRPr="00A54BC0" w:rsidRDefault="00680B63" w:rsidP="00680B63">
      <w:pPr>
        <w:jc w:val="both"/>
      </w:pPr>
      <w:r>
        <w:t>- Ph/Ph不平衡（正向和反向组件与不平衡）</w:t>
      </w:r>
    </w:p>
    <w:p w14:paraId="24FD2B24" w14:textId="77777777" w:rsidR="00680B63" w:rsidRPr="00680B63" w:rsidRDefault="00680B63" w:rsidP="00680B63">
      <w:pPr>
        <w:jc w:val="both"/>
      </w:pPr>
      <w:r>
        <w:t>- THD U、THD V</w:t>
      </w:r>
    </w:p>
    <w:p w14:paraId="24FD2B25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个别谐波U &amp; V（最多63次）</w:t>
      </w:r>
    </w:p>
    <w:p w14:paraId="24FD2B26" w14:textId="77777777" w:rsidR="00680B63" w:rsidRPr="00A54BC0" w:rsidRDefault="00680B63" w:rsidP="00680B63">
      <w:pPr>
        <w:jc w:val="both"/>
      </w:pPr>
      <w:r>
        <w:t>- 电压骤降、骤升和中断（根据EN 50160）</w:t>
      </w:r>
    </w:p>
    <w:p w14:paraId="24FD2B27" w14:textId="77777777" w:rsidR="00680B63" w:rsidRPr="00A54BC0" w:rsidRDefault="00680B63" w:rsidP="00680B63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24FD2B28" w14:textId="77777777" w:rsidR="00680B63" w:rsidRPr="00BC6E1E" w:rsidRDefault="00295634" w:rsidP="00680B63">
      <w:pPr>
        <w:jc w:val="both"/>
        <w:rPr>
          <w:u w:val="single"/>
        </w:rPr>
      </w:pPr>
      <w:r>
        <w:rPr>
          <w:u w:val="single"/>
        </w:rPr>
        <w:t>在关联的电流测量模块中</w:t>
      </w:r>
    </w:p>
    <w:p w14:paraId="24FD2B29" w14:textId="77777777" w:rsidR="00680B63" w:rsidRPr="00BC6E1E" w:rsidRDefault="00680B63" w:rsidP="00680B63">
      <w:pPr>
        <w:autoSpaceDE w:val="0"/>
        <w:autoSpaceDN w:val="0"/>
        <w:adjustRightInd w:val="0"/>
        <w:jc w:val="both"/>
      </w:pPr>
      <w:r>
        <w:lastRenderedPageBreak/>
        <w:t>- 根据模块而定，3、4或6个电流通道</w:t>
      </w:r>
    </w:p>
    <w:p w14:paraId="24FD2B2A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I1、I2、I3、IN、</w:t>
      </w:r>
      <w:r>
        <w:rPr>
          <w:rFonts w:ascii="Arial Narrow" w:eastAsia="Calibri" w:hAnsi="Arial Narrow" w:cs="Symbol"/>
        </w:rPr>
        <w:sym w:font="Symbol" w:char="F0E5"/>
      </w:r>
      <w:r>
        <w:t>P、</w:t>
      </w:r>
      <w:r>
        <w:rPr>
          <w:rFonts w:ascii="Arial Narrow" w:eastAsia="Calibri" w:hAnsi="Arial Narrow" w:cs="Symbol"/>
        </w:rPr>
        <w:sym w:font="Symbol" w:char="F0E5"/>
      </w:r>
      <w:r>
        <w:t>Q、</w:t>
      </w:r>
      <w:r>
        <w:rPr>
          <w:rFonts w:ascii="Arial Narrow" w:eastAsia="Calibri" w:hAnsi="Arial Narrow" w:cs="Symbol"/>
        </w:rPr>
        <w:sym w:font="Symbol" w:char="F0E5"/>
      </w:r>
      <w:r>
        <w:t>S、</w:t>
      </w:r>
      <w:r>
        <w:rPr>
          <w:rFonts w:ascii="Arial Narrow" w:eastAsia="Calibri" w:hAnsi="Arial Narrow" w:cs="Symbol"/>
        </w:rPr>
        <w:sym w:font="Symbol" w:char="F0E5"/>
      </w:r>
      <w:r>
        <w:t>PF</w:t>
      </w:r>
    </w:p>
    <w:p w14:paraId="24FD2B2B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每相P、Q、S、PF</w:t>
      </w:r>
    </w:p>
    <w:p w14:paraId="24FD2B2C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预测功率</w:t>
      </w:r>
    </w:p>
    <w:p w14:paraId="24FD2B2D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I系统</w:t>
      </w:r>
    </w:p>
    <w:p w14:paraId="24FD2B2E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电流不平衡（正向、反向和同极组件与不平衡）</w:t>
      </w:r>
    </w:p>
    <w:p w14:paraId="24FD2B2F" w14:textId="77777777" w:rsidR="00680B63" w:rsidRPr="00A54BC0" w:rsidRDefault="00680B63" w:rsidP="00680B63">
      <w:pPr>
        <w:jc w:val="both"/>
        <w:rPr>
          <w:b/>
        </w:rPr>
      </w:pPr>
      <w:r>
        <w:t>- Phi、cos Phi、tan Phi</w:t>
      </w:r>
    </w:p>
    <w:p w14:paraId="24FD2B30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负荷曲线（11天，带10-最小值）</w:t>
      </w:r>
    </w:p>
    <w:p w14:paraId="24FD2B31" w14:textId="77777777" w:rsidR="00680B63" w:rsidRPr="00A54BC0" w:rsidRDefault="00680B63" w:rsidP="00680B63">
      <w:pPr>
        <w:autoSpaceDE w:val="0"/>
        <w:autoSpaceDN w:val="0"/>
        <w:adjustRightInd w:val="0"/>
        <w:jc w:val="both"/>
      </w:pPr>
      <w:r>
        <w:t>- THDI和个别谐波（最多63级）</w:t>
      </w:r>
    </w:p>
    <w:p w14:paraId="24FD2B32" w14:textId="77777777" w:rsidR="00680B63" w:rsidRPr="00A54BC0" w:rsidRDefault="00680B63" w:rsidP="00680B63">
      <w:pPr>
        <w:jc w:val="both"/>
      </w:pPr>
      <w:r>
        <w:t xml:space="preserve">- 过电流 </w:t>
      </w:r>
    </w:p>
    <w:p w14:paraId="24FD2B33" w14:textId="77777777" w:rsidR="00680B63" w:rsidRPr="00295634" w:rsidRDefault="00680B63" w:rsidP="00DC0E8F">
      <w:pPr>
        <w:autoSpaceDE w:val="0"/>
        <w:autoSpaceDN w:val="0"/>
        <w:adjustRightInd w:val="0"/>
      </w:pPr>
      <w:r>
        <w:t>- 阈值和输入警报</w:t>
      </w:r>
      <w:r>
        <w:rPr>
          <w:rFonts w:ascii="Arial Narrow" w:eastAsia="Calibri" w:hAnsi="Arial Narrow" w:cs="HelveticaNeueLTCom-Lt"/>
        </w:rPr>
        <w:br/>
      </w:r>
      <w:r>
        <w:t>- 2个输入/2个输出</w:t>
      </w:r>
    </w:p>
    <w:p w14:paraId="24FD2B34" w14:textId="77777777" w:rsidR="00680B63" w:rsidRDefault="00680B63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24FD2B35" w14:textId="77777777" w:rsidR="006127BF" w:rsidRPr="00A54BC0" w:rsidRDefault="006127BF" w:rsidP="00A54BC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• 计量</w:t>
      </w:r>
    </w:p>
    <w:p w14:paraId="24FD2B36" w14:textId="77777777" w:rsidR="006127BF" w:rsidRDefault="006127BF" w:rsidP="00A54BC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± kWh、± kvarh（滞后和超前）、kVAh</w:t>
      </w:r>
    </w:p>
    <w:p w14:paraId="24FD2B37" w14:textId="77777777" w:rsidR="00295634" w:rsidRPr="00A54BC0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24FD2B38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• 警报</w:t>
      </w:r>
    </w:p>
    <w:p w14:paraId="24FD2B39" w14:textId="77777777" w:rsidR="00295634" w:rsidRPr="00A54BC0" w:rsidRDefault="00295634" w:rsidP="00295634">
      <w:pPr>
        <w:autoSpaceDE w:val="0"/>
        <w:autoSpaceDN w:val="0"/>
        <w:adjustRightInd w:val="0"/>
        <w:jc w:val="both"/>
      </w:pPr>
      <w:r>
        <w:t>- 电气测量瞬时或平均值的时间戳记警报</w:t>
      </w:r>
    </w:p>
    <w:p w14:paraId="24FD2B3A" w14:textId="77777777" w:rsidR="00295634" w:rsidRPr="00A54BC0" w:rsidRDefault="00295634" w:rsidP="00295634">
      <w:pPr>
        <w:autoSpaceDE w:val="0"/>
        <w:autoSpaceDN w:val="0"/>
        <w:adjustRightInd w:val="0"/>
        <w:jc w:val="both"/>
      </w:pPr>
      <w:r>
        <w:t>- 可对警报进行布尔组合</w:t>
      </w:r>
    </w:p>
    <w:p w14:paraId="24FD2B3B" w14:textId="77777777" w:rsidR="00295634" w:rsidRPr="00A54BC0" w:rsidRDefault="00295634" w:rsidP="00295634">
      <w:pPr>
        <w:autoSpaceDE w:val="0"/>
        <w:autoSpaceDN w:val="0"/>
        <w:adjustRightInd w:val="0"/>
        <w:jc w:val="both"/>
      </w:pPr>
      <w:r>
        <w:t xml:space="preserve">- 可预测的负荷分区切断智能警报 </w:t>
      </w:r>
    </w:p>
    <w:p w14:paraId="24FD2B3C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B3D" w14:textId="77777777" w:rsidR="00295634" w:rsidRPr="00A54BC0" w:rsidRDefault="00295634" w:rsidP="0029563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• 数据记录 </w:t>
      </w:r>
    </w:p>
    <w:p w14:paraId="24FD2B3E" w14:textId="77777777" w:rsidR="00295634" w:rsidRPr="00A54BC0" w:rsidRDefault="00295634" w:rsidP="00DC0E8F">
      <w:pPr>
        <w:autoSpaceDE w:val="0"/>
        <w:autoSpaceDN w:val="0"/>
        <w:adjustRightInd w:val="0"/>
      </w:pPr>
      <w:r>
        <w:t xml:space="preserve">- 记录7天并带有10-最小值的平均电值（可配置：U、F、I、P、Q、S、PF、THD） </w:t>
      </w:r>
    </w:p>
    <w:p w14:paraId="24FD2B3F" w14:textId="77777777" w:rsidR="00295634" w:rsidRPr="00A54BC0" w:rsidRDefault="00295634" w:rsidP="00DC0E8F">
      <w:pPr>
        <w:autoSpaceDE w:val="0"/>
        <w:autoSpaceDN w:val="0"/>
        <w:adjustRightInd w:val="0"/>
      </w:pPr>
      <w:r>
        <w:t>- 记录和时间戳记最小/最大电值</w:t>
      </w:r>
      <w:r>
        <w:rPr>
          <w:rFonts w:ascii="Arial Narrow" w:eastAsia="Calibri" w:hAnsi="Arial Narrow" w:cs="HelveticaNeueLTCom-Lt"/>
        </w:rPr>
        <w:br/>
      </w:r>
      <w:r>
        <w:t>- 存档事件：</w:t>
      </w:r>
    </w:p>
    <w:p w14:paraId="24FD2B40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</w:rPr>
        <w:t>记录EN 50160事件和电流过载</w:t>
      </w:r>
    </w:p>
    <w:p w14:paraId="24FD2B41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</w:rPr>
        <w:t>记录测量警报</w:t>
      </w:r>
    </w:p>
    <w:p w14:paraId="24FD2B42" w14:textId="77777777" w:rsidR="00295634" w:rsidRPr="00A54BC0" w:rsidRDefault="00295634" w:rsidP="00C63835">
      <w:pPr>
        <w:pStyle w:val="Paragraphedeliste"/>
        <w:numPr>
          <w:ilvl w:val="0"/>
          <w:numId w:val="26"/>
        </w:numPr>
        <w:rPr>
          <w:sz w:val="20"/>
          <w:szCs w:val="20"/>
        </w:rPr>
      </w:pPr>
      <w:r>
        <w:rPr>
          <w:sz w:val="20"/>
        </w:rPr>
        <w:t>记录系统警报</w:t>
      </w:r>
    </w:p>
    <w:p w14:paraId="24FD2B43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B44" w14:textId="77777777" w:rsidR="00295634" w:rsidRPr="00BC6E1E" w:rsidRDefault="00295634" w:rsidP="00295634">
      <w:pPr>
        <w:jc w:val="both"/>
      </w:pPr>
      <w:r>
        <w:t>在性能方面，测量系统必须达到下列精度水平：</w:t>
      </w:r>
    </w:p>
    <w:p w14:paraId="24FD2B45" w14:textId="77777777"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24FD2B46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• 测量链精度</w:t>
      </w:r>
    </w:p>
    <w:p w14:paraId="24FD2B47" w14:textId="77777777" w:rsidR="00771869" w:rsidRPr="00A54BC0" w:rsidRDefault="00771869" w:rsidP="00295634">
      <w:pPr>
        <w:autoSpaceDE w:val="0"/>
        <w:autoSpaceDN w:val="0"/>
        <w:adjustRightInd w:val="0"/>
        <w:jc w:val="both"/>
      </w:pPr>
      <w:r>
        <w:t>测量设备和传感器的结合，允许确保功率和电能(kWh)的测量链的下列整体精度：</w:t>
      </w:r>
    </w:p>
    <w:p w14:paraId="24FD2B48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24FD2B49" w14:textId="77777777" w:rsidR="00771869" w:rsidRPr="00A54BC0" w:rsidRDefault="00771869" w:rsidP="002956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 </w:t>
      </w:r>
      <w:r>
        <w:rPr>
          <w:b/>
          <w:color w:val="000000"/>
        </w:rPr>
        <w:t>根据IEC 61557-12的0.5级：</w:t>
      </w:r>
      <w:r>
        <w:t>整个测量链（测量模块 + 电流传感器）的2至120%标称电流</w:t>
      </w:r>
      <w:r>
        <w:rPr>
          <w:rFonts w:ascii="Arial Narrow" w:eastAsia="Calibri" w:hAnsi="Arial Narrow" w:cs="Calibri"/>
          <w:color w:val="000000"/>
        </w:rPr>
        <w:br/>
      </w:r>
    </w:p>
    <w:p w14:paraId="24FD2B4A" w14:textId="77777777" w:rsidR="00771869" w:rsidRPr="00A54BC0" w:rsidRDefault="00771869" w:rsidP="00A54BC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 </w:t>
      </w:r>
      <w:r>
        <w:rPr>
          <w:b/>
          <w:color w:val="000000"/>
        </w:rPr>
        <w:t>根据IEC 61557-12的0.2级：</w:t>
      </w:r>
      <w:r>
        <w:rPr>
          <w:color w:val="000000"/>
        </w:rPr>
        <w:t>单独测量模块的0.2%精度</w:t>
      </w:r>
    </w:p>
    <w:p w14:paraId="24FD2B4B" w14:textId="77777777" w:rsidR="00782509" w:rsidRPr="00A54BC0" w:rsidRDefault="0078250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14:paraId="24FD2B4C" w14:textId="77777777" w:rsidR="00885154" w:rsidRPr="00BC6E1E" w:rsidRDefault="00295634" w:rsidP="00295634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/>
          <w:sz w:val="24"/>
        </w:rPr>
        <w:t>选件</w:t>
      </w:r>
    </w:p>
    <w:p w14:paraId="24FD2B4D" w14:textId="77777777" w:rsidR="008405F6" w:rsidRPr="00BC6E1E" w:rsidRDefault="00295634" w:rsidP="00A54BC0">
      <w:pPr>
        <w:jc w:val="both"/>
      </w:pPr>
      <w:r>
        <w:t>DIRIS Digiware D-50控制接口屏幕必须具备下列特性：</w:t>
      </w:r>
    </w:p>
    <w:p w14:paraId="24FD2B4E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sz w:val="20"/>
          <w:szCs w:val="20"/>
        </w:rPr>
      </w:pPr>
      <w:r>
        <w:rPr>
          <w:sz w:val="20"/>
        </w:rPr>
        <w:t>高分辨率图形屏幕</w:t>
      </w:r>
    </w:p>
    <w:p w14:paraId="24FD2B4F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sz w:val="20"/>
          <w:szCs w:val="20"/>
        </w:rPr>
      </w:pPr>
      <w:r>
        <w:rPr>
          <w:sz w:val="20"/>
        </w:rPr>
        <w:t>24VDC电源以防止机门上的危险电压</w:t>
      </w:r>
    </w:p>
    <w:p w14:paraId="24FD2B50" w14:textId="77777777" w:rsidR="00295634" w:rsidRPr="00BC6E1E" w:rsidRDefault="00295634" w:rsidP="00DC0E8F">
      <w:pPr>
        <w:pStyle w:val="Paragraphedeliste"/>
        <w:numPr>
          <w:ilvl w:val="0"/>
          <w:numId w:val="26"/>
        </w:numPr>
        <w:ind w:left="142" w:hanging="142"/>
        <w:rPr>
          <w:sz w:val="20"/>
          <w:szCs w:val="20"/>
        </w:rPr>
      </w:pPr>
      <w:r>
        <w:rPr>
          <w:sz w:val="20"/>
        </w:rPr>
        <w:t xml:space="preserve">前面板的IP65保护等级 </w:t>
      </w:r>
    </w:p>
    <w:p w14:paraId="24FD2B51" w14:textId="77777777" w:rsidR="00295634" w:rsidRPr="00BC6E1E" w:rsidRDefault="00F82189" w:rsidP="00DC0E8F">
      <w:pPr>
        <w:pStyle w:val="Paragraphedeliste"/>
        <w:numPr>
          <w:ilvl w:val="0"/>
          <w:numId w:val="26"/>
        </w:numPr>
        <w:ind w:left="142" w:hanging="142"/>
        <w:rPr>
          <w:sz w:val="20"/>
          <w:szCs w:val="20"/>
        </w:rPr>
      </w:pPr>
      <w:r>
        <w:rPr>
          <w:sz w:val="20"/>
        </w:rPr>
        <w:t>10个直接访问键，用于测量信息、选择输出和配置设备</w:t>
      </w:r>
    </w:p>
    <w:p w14:paraId="24FD2B52" w14:textId="77777777" w:rsidR="00DC0E8F" w:rsidRPr="00BC6E1E" w:rsidRDefault="00DC0E8F" w:rsidP="00DC0E8F">
      <w:pPr>
        <w:pStyle w:val="Paragraphedeliste"/>
        <w:numPr>
          <w:ilvl w:val="0"/>
          <w:numId w:val="26"/>
        </w:numPr>
        <w:ind w:left="142" w:hanging="142"/>
        <w:rPr>
          <w:sz w:val="20"/>
          <w:szCs w:val="20"/>
        </w:rPr>
      </w:pPr>
      <w:r>
        <w:rPr>
          <w:sz w:val="20"/>
        </w:rPr>
        <w:t>RS485/以太网网关，使所有的计量、测量和警报数据可从仪表和测量设备上使用</w:t>
      </w:r>
    </w:p>
    <w:p w14:paraId="24FD2B53" w14:textId="77777777" w:rsidR="00295634" w:rsidRPr="00BC6E1E" w:rsidRDefault="00295634" w:rsidP="00A54BC0">
      <w:pPr>
        <w:jc w:val="both"/>
        <w:rPr>
          <w:rFonts w:ascii="Arial Narrow" w:hAnsi="Arial Narrow"/>
          <w:b/>
        </w:rPr>
      </w:pPr>
    </w:p>
    <w:p w14:paraId="24FD2B54" w14:textId="77777777" w:rsidR="00295634" w:rsidRPr="00BC6E1E" w:rsidRDefault="00DC0E8F" w:rsidP="00A54BC0">
      <w:pPr>
        <w:jc w:val="both"/>
      </w:pPr>
      <w:r>
        <w:t>DIRIS D-90平板电脑具有一个10’的触摸屏。可将它安装在机门上或在单独的室内远程使用。</w:t>
      </w:r>
    </w:p>
    <w:p w14:paraId="24FD2B55" w14:textId="77777777" w:rsidR="000853A1" w:rsidRPr="00A54BC0" w:rsidRDefault="000853A1" w:rsidP="00A54BC0">
      <w:pPr>
        <w:jc w:val="both"/>
        <w:rPr>
          <w:rFonts w:ascii="Arial Narrow" w:hAnsi="Arial Narrow"/>
        </w:rPr>
      </w:pPr>
    </w:p>
    <w:sectPr w:rsidR="000853A1" w:rsidRPr="00A54BC0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D2B58" w14:textId="77777777" w:rsidR="00674F6B" w:rsidRDefault="00674F6B" w:rsidP="00605280">
      <w:r>
        <w:separator/>
      </w:r>
    </w:p>
  </w:endnote>
  <w:endnote w:type="continuationSeparator" w:id="0">
    <w:p w14:paraId="24FD2B59" w14:textId="77777777" w:rsidR="00674F6B" w:rsidRDefault="00674F6B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D2B5D" w14:textId="02C76BBF" w:rsidR="00605280" w:rsidRPr="001842DB" w:rsidRDefault="00192D0D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6"/>
        <w:szCs w:val="16"/>
        <w:lang w:val="en-US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5224CD">
      <w:rPr>
        <w:rFonts w:asciiTheme="majorHAnsi" w:eastAsiaTheme="majorEastAsia" w:hAnsiTheme="majorHAnsi" w:cstheme="majorBidi"/>
        <w:noProof/>
      </w:rPr>
      <w:t>elj-aem DT Digiware rev1 ENG.docx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/>
      </w:rPr>
      <w:t>第</w:t>
    </w:r>
    <w:r w:rsidR="00605280">
      <w:rPr>
        <w:rFonts w:asciiTheme="minorHAnsi" w:eastAsiaTheme="minorEastAsia" w:hAnsiTheme="minorHAnsi" w:cstheme="minorBidi"/>
      </w:rPr>
      <w:fldChar w:fldCharType="begin"/>
    </w:r>
    <w:r w:rsidR="00605280">
      <w:instrText xml:space="preserve"> PAGE   \* MERGEFORMAT </w:instrText>
    </w:r>
    <w:r w:rsidR="00605280">
      <w:rPr>
        <w:rFonts w:asciiTheme="minorHAnsi" w:eastAsiaTheme="minorEastAsia" w:hAnsiTheme="minorHAnsi" w:cstheme="minorBidi"/>
      </w:rPr>
      <w:fldChar w:fldCharType="separate"/>
    </w:r>
    <w:r w:rsidR="001842DB" w:rsidRPr="001842DB">
      <w:rPr>
        <w:rFonts w:asciiTheme="majorHAnsi" w:eastAsiaTheme="majorEastAsia" w:hAnsiTheme="majorHAnsi" w:cstheme="majorBidi"/>
        <w:noProof/>
      </w:rPr>
      <w:t>-</w:t>
    </w:r>
    <w:r w:rsidR="001842DB">
      <w:rPr>
        <w:noProof/>
      </w:rPr>
      <w:t xml:space="preserve"> 3 -</w:t>
    </w:r>
    <w:r w:rsidR="00605280">
      <w:rPr>
        <w:rFonts w:asciiTheme="majorHAnsi" w:eastAsiaTheme="majorEastAsia" w:hAnsiTheme="majorHAnsi" w:cstheme="majorBidi"/>
        <w:noProof/>
      </w:rPr>
      <w:fldChar w:fldCharType="end"/>
    </w:r>
    <w:r>
      <w:t>页</w:t>
    </w:r>
    <w:r w:rsidR="005B7D14" w:rsidRPr="001842DB">
      <w:rPr>
        <w:lang w:val="en-US"/>
      </w:rPr>
      <w:t xml:space="preserve"> - </w:t>
    </w:r>
    <w:r w:rsidR="001842DB">
      <w:rPr>
        <w:rFonts w:asciiTheme="majorHAnsi" w:eastAsiaTheme="majorEastAsia" w:hAnsiTheme="majorHAnsi" w:cstheme="majorBidi"/>
        <w:noProof/>
        <w:sz w:val="16"/>
        <w:szCs w:val="16"/>
      </w:rPr>
      <w:t>DNM 15 78368 - Prescription DIRIS Digiware</w:t>
    </w:r>
  </w:p>
  <w:p w14:paraId="24FD2B5E" w14:textId="77777777" w:rsidR="00605280" w:rsidRDefault="006052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D2B56" w14:textId="77777777" w:rsidR="00674F6B" w:rsidRDefault="00674F6B" w:rsidP="00605280">
      <w:r>
        <w:separator/>
      </w:r>
    </w:p>
  </w:footnote>
  <w:footnote w:type="continuationSeparator" w:id="0">
    <w:p w14:paraId="24FD2B57" w14:textId="77777777" w:rsidR="00674F6B" w:rsidRDefault="00674F6B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17"/>
  </w:num>
  <w:num w:numId="9">
    <w:abstractNumId w:val="2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5"/>
  </w:num>
  <w:num w:numId="12">
    <w:abstractNumId w:val="11"/>
  </w:num>
  <w:num w:numId="13">
    <w:abstractNumId w:val="4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22"/>
  </w:num>
  <w:num w:numId="18">
    <w:abstractNumId w:val="10"/>
  </w:num>
  <w:num w:numId="19">
    <w:abstractNumId w:val="7"/>
  </w:num>
  <w:num w:numId="20">
    <w:abstractNumId w:val="23"/>
  </w:num>
  <w:num w:numId="21">
    <w:abstractNumId w:val="15"/>
  </w:num>
  <w:num w:numId="22">
    <w:abstractNumId w:val="8"/>
  </w:num>
  <w:num w:numId="23">
    <w:abstractNumId w:val="26"/>
  </w:num>
  <w:num w:numId="24">
    <w:abstractNumId w:val="19"/>
  </w:num>
  <w:num w:numId="25">
    <w:abstractNumId w:val="6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14C1F"/>
    <w:rsid w:val="00024DB6"/>
    <w:rsid w:val="00027BB8"/>
    <w:rsid w:val="000402F3"/>
    <w:rsid w:val="000609EF"/>
    <w:rsid w:val="00076FF0"/>
    <w:rsid w:val="000846E6"/>
    <w:rsid w:val="000853A1"/>
    <w:rsid w:val="00096593"/>
    <w:rsid w:val="000A38D7"/>
    <w:rsid w:val="000A6A37"/>
    <w:rsid w:val="000B2A52"/>
    <w:rsid w:val="000B5A7C"/>
    <w:rsid w:val="000C502C"/>
    <w:rsid w:val="000C7562"/>
    <w:rsid w:val="000D602B"/>
    <w:rsid w:val="000E00AE"/>
    <w:rsid w:val="0010356B"/>
    <w:rsid w:val="001348DD"/>
    <w:rsid w:val="001410B1"/>
    <w:rsid w:val="0018359A"/>
    <w:rsid w:val="001842DB"/>
    <w:rsid w:val="0018507A"/>
    <w:rsid w:val="00192D0D"/>
    <w:rsid w:val="001A0BD6"/>
    <w:rsid w:val="001A3B19"/>
    <w:rsid w:val="001B0D05"/>
    <w:rsid w:val="001C29F8"/>
    <w:rsid w:val="001C305D"/>
    <w:rsid w:val="001C5E1F"/>
    <w:rsid w:val="001C7A65"/>
    <w:rsid w:val="001F42F9"/>
    <w:rsid w:val="001F659A"/>
    <w:rsid w:val="00214A0A"/>
    <w:rsid w:val="00243BD2"/>
    <w:rsid w:val="00265048"/>
    <w:rsid w:val="00287C0D"/>
    <w:rsid w:val="00295634"/>
    <w:rsid w:val="002A5C54"/>
    <w:rsid w:val="002A6473"/>
    <w:rsid w:val="002B5878"/>
    <w:rsid w:val="002C176E"/>
    <w:rsid w:val="002C4486"/>
    <w:rsid w:val="002C4641"/>
    <w:rsid w:val="002E10C4"/>
    <w:rsid w:val="00302BC6"/>
    <w:rsid w:val="0030464F"/>
    <w:rsid w:val="00353184"/>
    <w:rsid w:val="003579E7"/>
    <w:rsid w:val="00373BA3"/>
    <w:rsid w:val="003846D0"/>
    <w:rsid w:val="003977A4"/>
    <w:rsid w:val="003A0E3D"/>
    <w:rsid w:val="003C4450"/>
    <w:rsid w:val="003C6034"/>
    <w:rsid w:val="003D56B4"/>
    <w:rsid w:val="003E6B21"/>
    <w:rsid w:val="003F1A8F"/>
    <w:rsid w:val="0042345B"/>
    <w:rsid w:val="004571BC"/>
    <w:rsid w:val="00462742"/>
    <w:rsid w:val="00466BB0"/>
    <w:rsid w:val="00475A11"/>
    <w:rsid w:val="00491A79"/>
    <w:rsid w:val="004A10EB"/>
    <w:rsid w:val="004A5985"/>
    <w:rsid w:val="004C6FEF"/>
    <w:rsid w:val="004D6B19"/>
    <w:rsid w:val="004E6ABA"/>
    <w:rsid w:val="004F38B3"/>
    <w:rsid w:val="00507236"/>
    <w:rsid w:val="00511969"/>
    <w:rsid w:val="00512356"/>
    <w:rsid w:val="0052060B"/>
    <w:rsid w:val="005224CD"/>
    <w:rsid w:val="00523DF5"/>
    <w:rsid w:val="005245ED"/>
    <w:rsid w:val="0052793F"/>
    <w:rsid w:val="00534691"/>
    <w:rsid w:val="00537F1A"/>
    <w:rsid w:val="00554846"/>
    <w:rsid w:val="00554DC9"/>
    <w:rsid w:val="00571E3B"/>
    <w:rsid w:val="00585192"/>
    <w:rsid w:val="00585C3D"/>
    <w:rsid w:val="005942C0"/>
    <w:rsid w:val="00594A00"/>
    <w:rsid w:val="00594B0C"/>
    <w:rsid w:val="00595B04"/>
    <w:rsid w:val="005A2DC1"/>
    <w:rsid w:val="005A5055"/>
    <w:rsid w:val="005B570C"/>
    <w:rsid w:val="005B7D14"/>
    <w:rsid w:val="005C2D58"/>
    <w:rsid w:val="005D0122"/>
    <w:rsid w:val="005F2CEF"/>
    <w:rsid w:val="00604794"/>
    <w:rsid w:val="00605280"/>
    <w:rsid w:val="00610183"/>
    <w:rsid w:val="006127BF"/>
    <w:rsid w:val="00632234"/>
    <w:rsid w:val="00653B3C"/>
    <w:rsid w:val="00671880"/>
    <w:rsid w:val="00674F6B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569DF"/>
    <w:rsid w:val="00757E14"/>
    <w:rsid w:val="00761852"/>
    <w:rsid w:val="00771869"/>
    <w:rsid w:val="00782509"/>
    <w:rsid w:val="0078488B"/>
    <w:rsid w:val="00786130"/>
    <w:rsid w:val="00792C75"/>
    <w:rsid w:val="007A0C1A"/>
    <w:rsid w:val="007A3F6E"/>
    <w:rsid w:val="007C37C1"/>
    <w:rsid w:val="007D18ED"/>
    <w:rsid w:val="007E16B2"/>
    <w:rsid w:val="007E7CC3"/>
    <w:rsid w:val="007F2A49"/>
    <w:rsid w:val="007F5BF5"/>
    <w:rsid w:val="00804D9D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5017"/>
    <w:rsid w:val="00885154"/>
    <w:rsid w:val="00885978"/>
    <w:rsid w:val="0089266A"/>
    <w:rsid w:val="008B49D2"/>
    <w:rsid w:val="008D7189"/>
    <w:rsid w:val="008D7876"/>
    <w:rsid w:val="009116A7"/>
    <w:rsid w:val="00912FCF"/>
    <w:rsid w:val="009267C9"/>
    <w:rsid w:val="00926AF2"/>
    <w:rsid w:val="00935853"/>
    <w:rsid w:val="00957453"/>
    <w:rsid w:val="00962D1F"/>
    <w:rsid w:val="00962D81"/>
    <w:rsid w:val="00962F23"/>
    <w:rsid w:val="00965BE0"/>
    <w:rsid w:val="00975C2E"/>
    <w:rsid w:val="009A0F84"/>
    <w:rsid w:val="009A3E9E"/>
    <w:rsid w:val="009B3D69"/>
    <w:rsid w:val="009B681B"/>
    <w:rsid w:val="009B6E50"/>
    <w:rsid w:val="009C2759"/>
    <w:rsid w:val="009D5C01"/>
    <w:rsid w:val="009F5BE5"/>
    <w:rsid w:val="00A278DE"/>
    <w:rsid w:val="00A31629"/>
    <w:rsid w:val="00A42AF0"/>
    <w:rsid w:val="00A54BC0"/>
    <w:rsid w:val="00A77925"/>
    <w:rsid w:val="00A950E0"/>
    <w:rsid w:val="00A96AE5"/>
    <w:rsid w:val="00AC49AB"/>
    <w:rsid w:val="00AC6112"/>
    <w:rsid w:val="00AC7270"/>
    <w:rsid w:val="00AD26B1"/>
    <w:rsid w:val="00AD3A4C"/>
    <w:rsid w:val="00AF26D5"/>
    <w:rsid w:val="00B03A85"/>
    <w:rsid w:val="00B132EF"/>
    <w:rsid w:val="00B15FFF"/>
    <w:rsid w:val="00B25023"/>
    <w:rsid w:val="00B36561"/>
    <w:rsid w:val="00B3673E"/>
    <w:rsid w:val="00B5453A"/>
    <w:rsid w:val="00B70A55"/>
    <w:rsid w:val="00B91EE1"/>
    <w:rsid w:val="00B93E30"/>
    <w:rsid w:val="00B97A10"/>
    <w:rsid w:val="00BA09DC"/>
    <w:rsid w:val="00BC6E1E"/>
    <w:rsid w:val="00BF5B59"/>
    <w:rsid w:val="00BF6AE4"/>
    <w:rsid w:val="00C131B1"/>
    <w:rsid w:val="00C16D32"/>
    <w:rsid w:val="00C16E7F"/>
    <w:rsid w:val="00C34EF9"/>
    <w:rsid w:val="00C41356"/>
    <w:rsid w:val="00C637A6"/>
    <w:rsid w:val="00C63835"/>
    <w:rsid w:val="00C762DF"/>
    <w:rsid w:val="00C82D75"/>
    <w:rsid w:val="00C83E81"/>
    <w:rsid w:val="00C973B8"/>
    <w:rsid w:val="00CA07E9"/>
    <w:rsid w:val="00CA0BAF"/>
    <w:rsid w:val="00CB18E5"/>
    <w:rsid w:val="00CB4563"/>
    <w:rsid w:val="00D06154"/>
    <w:rsid w:val="00D1232A"/>
    <w:rsid w:val="00D14153"/>
    <w:rsid w:val="00D33E1C"/>
    <w:rsid w:val="00D45A37"/>
    <w:rsid w:val="00D65733"/>
    <w:rsid w:val="00DB48B0"/>
    <w:rsid w:val="00DC0E8F"/>
    <w:rsid w:val="00DD2DF1"/>
    <w:rsid w:val="00DD321B"/>
    <w:rsid w:val="00DD38F9"/>
    <w:rsid w:val="00DE4E87"/>
    <w:rsid w:val="00E43B1F"/>
    <w:rsid w:val="00E60062"/>
    <w:rsid w:val="00E762F9"/>
    <w:rsid w:val="00E800BC"/>
    <w:rsid w:val="00E82B30"/>
    <w:rsid w:val="00EA1B1E"/>
    <w:rsid w:val="00EA2201"/>
    <w:rsid w:val="00EA4033"/>
    <w:rsid w:val="00EC63A8"/>
    <w:rsid w:val="00EC75E0"/>
    <w:rsid w:val="00ED1369"/>
    <w:rsid w:val="00EE556E"/>
    <w:rsid w:val="00EE5736"/>
    <w:rsid w:val="00F032D3"/>
    <w:rsid w:val="00F3143F"/>
    <w:rsid w:val="00F42CF9"/>
    <w:rsid w:val="00F4309E"/>
    <w:rsid w:val="00F53766"/>
    <w:rsid w:val="00F63CA9"/>
    <w:rsid w:val="00F670FC"/>
    <w:rsid w:val="00F82189"/>
    <w:rsid w:val="00F83007"/>
    <w:rsid w:val="00F94B0A"/>
    <w:rsid w:val="00F96053"/>
    <w:rsid w:val="00FA4FF5"/>
    <w:rsid w:val="00FC3039"/>
    <w:rsid w:val="00FE5D6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2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Sun" w:eastAsia="SimSun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SimSun" w:eastAsia="SimSun" w:hAnsi="SimSun"/>
      <w:b/>
      <w:bCs/>
      <w:kern w:val="28"/>
      <w:sz w:val="36"/>
      <w:szCs w:val="36"/>
      <w:lang w:val="zh-CN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SimSun" w:eastAsia="SimSun" w:hAnsi="SimSun"/>
      <w:lang w:val="zh-CN" w:eastAsia="zh-CN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SimSun" w:eastAsia="SimSun" w:hAnsi="SimSun"/>
      <w:lang w:val="zh-CN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SimSun" w:eastAsia="SimSun" w:hAnsi="SimSun" w:cs="SimSun"/>
      <w:sz w:val="16"/>
      <w:szCs w:val="16"/>
      <w:lang w:val="zh-CN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SimSun" w:eastAsia="SimSun" w:hAnsi="SimSun"/>
      <w:lang w:val="zh-CN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SimSun" w:eastAsia="SimSun" w:hAnsi="SimSun"/>
      <w:b/>
      <w:bCs/>
      <w:lang w:val="zh-CN" w:eastAsia="zh-CN"/>
    </w:rPr>
  </w:style>
  <w:style w:type="paragraph" w:styleId="Rvision">
    <w:name w:val="Revision"/>
    <w:hidden/>
    <w:uiPriority w:val="99"/>
    <w:semiHidden/>
    <w:rsid w:val="00192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Sun" w:eastAsia="SimSun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2D1F"/>
    <w:pPr>
      <w:ind w:left="720"/>
    </w:pPr>
    <w:rPr>
      <w:sz w:val="22"/>
      <w:szCs w:val="22"/>
    </w:rPr>
  </w:style>
  <w:style w:type="paragraph" w:customStyle="1" w:styleId="TitleSub">
    <w:name w:val="TitleSub"/>
    <w:basedOn w:val="Titre"/>
    <w:rsid w:val="000A38D7"/>
    <w:pPr>
      <w:spacing w:before="40" w:line="250" w:lineRule="exact"/>
    </w:pPr>
    <w:rPr>
      <w:sz w:val="22"/>
      <w:szCs w:val="22"/>
    </w:rPr>
  </w:style>
  <w:style w:type="paragraph" w:styleId="Titre">
    <w:name w:val="Title"/>
    <w:basedOn w:val="Normal"/>
    <w:link w:val="TitreCar"/>
    <w:qFormat/>
    <w:rsid w:val="000A38D7"/>
    <w:pPr>
      <w:autoSpaceDE w:val="0"/>
      <w:autoSpaceDN w:val="0"/>
      <w:spacing w:before="240" w:after="40" w:line="390" w:lineRule="exact"/>
      <w:jc w:val="center"/>
    </w:pPr>
    <w:rPr>
      <w:b/>
      <w:bCs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rsid w:val="000A38D7"/>
    <w:rPr>
      <w:rFonts w:ascii="SimSun" w:eastAsia="SimSun" w:hAnsi="SimSun"/>
      <w:b/>
      <w:bCs/>
      <w:kern w:val="28"/>
      <w:sz w:val="36"/>
      <w:szCs w:val="36"/>
      <w:lang w:val="zh-CN"/>
    </w:rPr>
  </w:style>
  <w:style w:type="paragraph" w:styleId="En-tte">
    <w:name w:val="header"/>
    <w:basedOn w:val="Normal"/>
    <w:link w:val="En-tt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05280"/>
    <w:rPr>
      <w:rFonts w:ascii="SimSun" w:eastAsia="SimSun" w:hAnsi="SimSun"/>
      <w:lang w:val="zh-CN" w:eastAsia="zh-CN"/>
    </w:rPr>
  </w:style>
  <w:style w:type="paragraph" w:styleId="Pieddepage">
    <w:name w:val="footer"/>
    <w:basedOn w:val="Normal"/>
    <w:link w:val="Pieddepage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280"/>
    <w:rPr>
      <w:rFonts w:ascii="SimSun" w:eastAsia="SimSun" w:hAnsi="SimSun"/>
      <w:lang w:val="zh-CN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5280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280"/>
    <w:rPr>
      <w:rFonts w:ascii="SimSun" w:eastAsia="SimSun" w:hAnsi="SimSun" w:cs="SimSun"/>
      <w:sz w:val="16"/>
      <w:szCs w:val="16"/>
      <w:lang w:val="zh-CN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9116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16A7"/>
  </w:style>
  <w:style w:type="character" w:customStyle="1" w:styleId="CommentaireCar">
    <w:name w:val="Commentaire Car"/>
    <w:basedOn w:val="Policepardfaut"/>
    <w:link w:val="Commentaire"/>
    <w:uiPriority w:val="99"/>
    <w:semiHidden/>
    <w:rsid w:val="009116A7"/>
    <w:rPr>
      <w:rFonts w:ascii="SimSun" w:eastAsia="SimSun" w:hAnsi="SimSun"/>
      <w:lang w:val="zh-CN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A7"/>
    <w:rPr>
      <w:rFonts w:ascii="SimSun" w:eastAsia="SimSun" w:hAnsi="SimSun"/>
      <w:b/>
      <w:bCs/>
      <w:lang w:val="zh-CN" w:eastAsia="zh-CN"/>
    </w:rPr>
  </w:style>
  <w:style w:type="paragraph" w:styleId="Rvision">
    <w:name w:val="Revision"/>
    <w:hidden/>
    <w:uiPriority w:val="99"/>
    <w:semiHidden/>
    <w:rsid w:val="0019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SimSun"/>
        <a:cs typeface="SimSun"/>
      </a:majorFont>
      <a:minorFont>
        <a:latin typeface="SimSun"/>
        <a:ea typeface="SimSun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HERR Pierre-Henri</cp:lastModifiedBy>
  <cp:revision>13</cp:revision>
  <cp:lastPrinted>2013-09-17T14:48:00Z</cp:lastPrinted>
  <dcterms:created xsi:type="dcterms:W3CDTF">2014-05-26T12:58:00Z</dcterms:created>
  <dcterms:modified xsi:type="dcterms:W3CDTF">2015-04-28T15:21:00Z</dcterms:modified>
</cp:coreProperties>
</file>